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pacing w:val="20"/>
          <w:sz w:val="44"/>
        </w:rPr>
      </w:pPr>
    </w:p>
    <w:p>
      <w:pPr>
        <w:jc w:val="center"/>
        <w:rPr>
          <w:rFonts w:ascii="宋体" w:hAnsi="宋体" w:cs="宋体"/>
          <w:bCs/>
          <w:sz w:val="100"/>
          <w:szCs w:val="100"/>
        </w:rPr>
      </w:pPr>
      <w:r>
        <w:rPr>
          <w:rFonts w:hint="eastAsia" w:ascii="宋体" w:hAnsi="宋体"/>
          <w:b/>
          <w:spacing w:val="20"/>
          <w:sz w:val="44"/>
        </w:rPr>
        <w:t>南通港小庙洪上延航道工程和三夹沙南航道工程海岸生态环境整治互花米草综合防治项目</w:t>
      </w:r>
    </w:p>
    <w:p>
      <w:pPr>
        <w:jc w:val="center"/>
        <w:rPr>
          <w:rFonts w:ascii="宋体" w:hAnsi="宋体" w:cs="宋体"/>
          <w:bCs/>
          <w:sz w:val="100"/>
          <w:szCs w:val="100"/>
        </w:rPr>
      </w:pPr>
    </w:p>
    <w:p>
      <w:pPr>
        <w:pStyle w:val="19"/>
      </w:pPr>
    </w:p>
    <w:p/>
    <w:p>
      <w:pPr>
        <w:jc w:val="center"/>
        <w:rPr>
          <w:rFonts w:ascii="宋体" w:hAnsi="宋体" w:cs="宋体"/>
          <w:bCs/>
          <w:sz w:val="100"/>
          <w:szCs w:val="100"/>
        </w:rPr>
      </w:pPr>
      <w:r>
        <w:rPr>
          <w:rFonts w:hint="eastAsia" w:ascii="宋体" w:hAnsi="宋体" w:cs="宋体"/>
          <w:bCs/>
          <w:sz w:val="100"/>
          <w:szCs w:val="100"/>
        </w:rPr>
        <w:t>公开招标文件</w:t>
      </w:r>
    </w:p>
    <w:p>
      <w:pPr>
        <w:pStyle w:val="8"/>
        <w:spacing w:line="500" w:lineRule="exact"/>
        <w:rPr>
          <w:rFonts w:ascii="宋体" w:hAnsi="宋体" w:cs="宋体"/>
          <w:b w:val="0"/>
          <w:bCs/>
        </w:rPr>
      </w:pPr>
    </w:p>
    <w:p>
      <w:pPr>
        <w:spacing w:line="500" w:lineRule="exact"/>
        <w:jc w:val="center"/>
        <w:rPr>
          <w:rFonts w:ascii="宋体" w:hAnsi="宋体" w:cs="宋体"/>
          <w:sz w:val="32"/>
        </w:rPr>
      </w:pPr>
    </w:p>
    <w:p>
      <w:pPr>
        <w:adjustRightInd w:val="0"/>
        <w:snapToGrid w:val="0"/>
        <w:spacing w:line="360" w:lineRule="auto"/>
        <w:ind w:firstLine="964" w:firstLineChars="300"/>
        <w:jc w:val="left"/>
        <w:rPr>
          <w:rFonts w:ascii="宋体" w:hAnsi="宋体"/>
          <w:b/>
          <w:bCs/>
          <w:sz w:val="32"/>
          <w:szCs w:val="30"/>
        </w:rPr>
      </w:pPr>
    </w:p>
    <w:p>
      <w:pPr>
        <w:adjustRightInd w:val="0"/>
        <w:snapToGrid w:val="0"/>
        <w:spacing w:line="360" w:lineRule="auto"/>
        <w:ind w:firstLine="964" w:firstLineChars="300"/>
        <w:jc w:val="left"/>
        <w:rPr>
          <w:rFonts w:ascii="宋体" w:hAnsi="宋体"/>
          <w:b/>
          <w:bCs/>
          <w:sz w:val="32"/>
          <w:szCs w:val="30"/>
        </w:rPr>
      </w:pPr>
    </w:p>
    <w:p>
      <w:pPr>
        <w:adjustRightInd w:val="0"/>
        <w:snapToGrid w:val="0"/>
        <w:spacing w:line="360" w:lineRule="auto"/>
        <w:ind w:firstLine="964" w:firstLineChars="300"/>
        <w:jc w:val="left"/>
        <w:rPr>
          <w:rFonts w:ascii="宋体" w:hAnsi="宋体"/>
          <w:b/>
          <w:bCs/>
          <w:sz w:val="32"/>
          <w:szCs w:val="30"/>
        </w:rPr>
      </w:pPr>
    </w:p>
    <w:p>
      <w:pPr>
        <w:adjustRightInd w:val="0"/>
        <w:snapToGrid w:val="0"/>
        <w:spacing w:line="360" w:lineRule="auto"/>
        <w:ind w:firstLine="964" w:firstLineChars="300"/>
        <w:jc w:val="left"/>
        <w:rPr>
          <w:rFonts w:ascii="宋体" w:hAnsi="宋体"/>
          <w:b/>
          <w:bCs/>
          <w:sz w:val="32"/>
          <w:szCs w:val="30"/>
        </w:rPr>
      </w:pPr>
    </w:p>
    <w:p>
      <w:pPr>
        <w:adjustRightInd w:val="0"/>
        <w:snapToGrid w:val="0"/>
        <w:spacing w:line="360" w:lineRule="auto"/>
        <w:ind w:firstLine="964" w:firstLineChars="300"/>
        <w:jc w:val="left"/>
        <w:rPr>
          <w:rFonts w:ascii="宋体" w:hAnsi="宋体"/>
          <w:b/>
          <w:bCs/>
          <w:sz w:val="32"/>
          <w:szCs w:val="30"/>
        </w:rPr>
      </w:pPr>
    </w:p>
    <w:p>
      <w:pPr>
        <w:adjustRightInd w:val="0"/>
        <w:snapToGrid w:val="0"/>
        <w:spacing w:line="360" w:lineRule="auto"/>
        <w:ind w:firstLine="964" w:firstLineChars="300"/>
        <w:jc w:val="left"/>
        <w:rPr>
          <w:rFonts w:ascii="宋体" w:hAnsi="宋体"/>
          <w:b/>
          <w:bCs/>
          <w:sz w:val="32"/>
          <w:szCs w:val="30"/>
        </w:rPr>
      </w:pPr>
    </w:p>
    <w:p>
      <w:pPr>
        <w:adjustRightInd w:val="0"/>
        <w:snapToGrid w:val="0"/>
        <w:spacing w:line="360" w:lineRule="auto"/>
        <w:ind w:firstLine="964" w:firstLineChars="300"/>
        <w:jc w:val="left"/>
        <w:rPr>
          <w:rFonts w:ascii="宋体" w:hAnsi="宋体"/>
          <w:b/>
          <w:bCs/>
          <w:sz w:val="32"/>
          <w:szCs w:val="30"/>
        </w:rPr>
      </w:pPr>
      <w:r>
        <w:rPr>
          <w:rFonts w:hint="eastAsia" w:ascii="宋体" w:hAnsi="宋体"/>
          <w:b/>
          <w:bCs/>
          <w:sz w:val="32"/>
          <w:szCs w:val="30"/>
        </w:rPr>
        <w:t>采购人：</w:t>
      </w:r>
      <w:r>
        <w:rPr>
          <w:rFonts w:hint="eastAsia" w:ascii="宋体" w:hAnsi="宋体" w:cs="宋体"/>
          <w:b/>
          <w:spacing w:val="20"/>
          <w:sz w:val="36"/>
          <w:szCs w:val="36"/>
        </w:rPr>
        <w:t>南通港集团建设投资有限公司</w:t>
      </w:r>
    </w:p>
    <w:p>
      <w:pPr>
        <w:adjustRightInd w:val="0"/>
        <w:snapToGrid w:val="0"/>
        <w:spacing w:line="360" w:lineRule="auto"/>
        <w:ind w:firstLine="964" w:firstLineChars="300"/>
        <w:rPr>
          <w:rFonts w:ascii="宋体" w:hAnsi="宋体"/>
          <w:b/>
          <w:bCs/>
          <w:sz w:val="32"/>
          <w:szCs w:val="30"/>
        </w:rPr>
      </w:pPr>
      <w:r>
        <w:rPr>
          <w:rFonts w:hint="eastAsia" w:ascii="宋体" w:hAnsi="宋体"/>
          <w:b/>
          <w:bCs/>
          <w:sz w:val="32"/>
          <w:szCs w:val="30"/>
        </w:rPr>
        <w:t>采购代理机构：</w:t>
      </w:r>
      <w:r>
        <w:rPr>
          <w:rFonts w:hint="eastAsia" w:ascii="宋体" w:hAnsi="宋体" w:cs="宋体"/>
          <w:b/>
          <w:bCs/>
          <w:sz w:val="32"/>
          <w:szCs w:val="32"/>
        </w:rPr>
        <w:t>中诚智信工程咨询集团股份有限公司</w:t>
      </w:r>
    </w:p>
    <w:p>
      <w:pPr>
        <w:adjustRightInd w:val="0"/>
        <w:snapToGrid w:val="0"/>
        <w:ind w:firstLine="881" w:firstLineChars="100"/>
        <w:jc w:val="left"/>
        <w:rPr>
          <w:rFonts w:ascii="宋体" w:hAnsi="宋体" w:cs="宋体"/>
          <w:snapToGrid w:val="0"/>
          <w:sz w:val="32"/>
          <w:szCs w:val="32"/>
        </w:rPr>
      </w:pPr>
      <w:r>
        <w:rPr>
          <w:rFonts w:hint="eastAsia" w:ascii="宋体" w:hAnsi="宋体"/>
          <w:b/>
          <w:bCs/>
          <w:spacing w:val="280"/>
          <w:kern w:val="0"/>
          <w:sz w:val="32"/>
          <w:szCs w:val="30"/>
          <w:fitText w:val="1920" w:id="-1131116543"/>
        </w:rPr>
        <w:t xml:space="preserve">日 </w:t>
      </w:r>
      <w:r>
        <w:rPr>
          <w:rFonts w:hint="eastAsia" w:ascii="宋体" w:hAnsi="宋体"/>
          <w:b/>
          <w:bCs/>
          <w:spacing w:val="0"/>
          <w:kern w:val="0"/>
          <w:sz w:val="32"/>
          <w:szCs w:val="30"/>
          <w:fitText w:val="1920" w:id="-1131116543"/>
        </w:rPr>
        <w:t>期</w:t>
      </w:r>
      <w:r>
        <w:rPr>
          <w:rFonts w:hint="eastAsia" w:ascii="宋体" w:hAnsi="宋体"/>
          <w:b/>
          <w:bCs/>
          <w:sz w:val="32"/>
          <w:szCs w:val="30"/>
        </w:rPr>
        <w:t>：</w:t>
      </w:r>
      <w:r>
        <w:rPr>
          <w:rFonts w:hint="eastAsia" w:ascii="宋体" w:hAnsi="宋体" w:cs="宋体"/>
          <w:b/>
          <w:bCs/>
          <w:sz w:val="32"/>
          <w:szCs w:val="32"/>
        </w:rPr>
        <w:t>二〇二四年四月</w:t>
      </w:r>
    </w:p>
    <w:p>
      <w:pPr>
        <w:adjustRightInd w:val="0"/>
        <w:snapToGrid w:val="0"/>
        <w:ind w:left="-158" w:leftChars="-75"/>
        <w:rPr>
          <w:rFonts w:ascii="宋体" w:hAnsi="宋体" w:cs="宋体"/>
          <w:snapToGrid w:val="0"/>
          <w:sz w:val="32"/>
          <w:szCs w:val="32"/>
        </w:rPr>
        <w:sectPr>
          <w:headerReference r:id="rId3" w:type="default"/>
          <w:footerReference r:id="rId4" w:type="default"/>
          <w:pgSz w:w="11906" w:h="16838"/>
          <w:pgMar w:top="1440" w:right="1440" w:bottom="1440" w:left="1440" w:header="851" w:footer="992" w:gutter="0"/>
          <w:cols w:space="720" w:num="1"/>
          <w:docGrid w:linePitch="312" w:charSpace="0"/>
        </w:sectPr>
      </w:pPr>
    </w:p>
    <w:p>
      <w:pPr>
        <w:adjustRightInd w:val="0"/>
        <w:snapToGrid w:val="0"/>
        <w:spacing w:line="360" w:lineRule="auto"/>
        <w:jc w:val="center"/>
        <w:rPr>
          <w:rFonts w:ascii="宋体" w:hAnsi="宋体" w:cs="宋体"/>
          <w:sz w:val="44"/>
          <w:szCs w:val="44"/>
        </w:rPr>
      </w:pPr>
      <w:r>
        <w:rPr>
          <w:rFonts w:hint="eastAsia" w:ascii="宋体" w:hAnsi="宋体" w:cs="宋体"/>
          <w:sz w:val="44"/>
          <w:szCs w:val="44"/>
        </w:rPr>
        <w:t>目 录</w:t>
      </w:r>
    </w:p>
    <w:p>
      <w:pPr>
        <w:adjustRightInd w:val="0"/>
        <w:snapToGrid w:val="0"/>
        <w:spacing w:line="360" w:lineRule="auto"/>
        <w:jc w:val="center"/>
        <w:rPr>
          <w:rFonts w:ascii="宋体" w:hAnsi="宋体" w:cs="宋体"/>
          <w:sz w:val="32"/>
          <w:szCs w:val="32"/>
        </w:rPr>
      </w:pPr>
    </w:p>
    <w:p>
      <w:pPr>
        <w:tabs>
          <w:tab w:val="left" w:pos="7740"/>
        </w:tabs>
        <w:adjustRightInd w:val="0"/>
        <w:snapToGrid w:val="0"/>
        <w:spacing w:line="360" w:lineRule="auto"/>
        <w:ind w:firstLine="640" w:firstLineChars="200"/>
        <w:rPr>
          <w:rFonts w:ascii="宋体" w:hAnsi="宋体" w:cs="宋体"/>
          <w:spacing w:val="2"/>
          <w:sz w:val="32"/>
          <w:szCs w:val="32"/>
        </w:rPr>
      </w:pPr>
      <w:r>
        <w:rPr>
          <w:rFonts w:hint="eastAsia" w:ascii="宋体" w:hAnsi="宋体" w:cs="宋体"/>
          <w:bCs/>
          <w:sz w:val="32"/>
          <w:szCs w:val="32"/>
        </w:rPr>
        <w:t>第一部分  投标邀请</w:t>
      </w:r>
    </w:p>
    <w:p>
      <w:pPr>
        <w:tabs>
          <w:tab w:val="left" w:pos="7740"/>
        </w:tabs>
        <w:adjustRightInd w:val="0"/>
        <w:snapToGrid w:val="0"/>
        <w:spacing w:line="360" w:lineRule="auto"/>
        <w:ind w:firstLine="640" w:firstLineChars="200"/>
        <w:rPr>
          <w:rFonts w:ascii="宋体" w:hAnsi="宋体" w:cs="宋体"/>
          <w:spacing w:val="2"/>
          <w:sz w:val="32"/>
          <w:szCs w:val="32"/>
        </w:rPr>
      </w:pPr>
      <w:r>
        <w:rPr>
          <w:rFonts w:hint="eastAsia" w:ascii="宋体" w:hAnsi="宋体" w:cs="宋体"/>
          <w:bCs/>
          <w:sz w:val="32"/>
          <w:szCs w:val="32"/>
        </w:rPr>
        <w:t>第二部分  投标须知</w:t>
      </w:r>
    </w:p>
    <w:p>
      <w:pPr>
        <w:tabs>
          <w:tab w:val="left" w:pos="7740"/>
        </w:tabs>
        <w:adjustRightInd w:val="0"/>
        <w:snapToGrid w:val="0"/>
        <w:spacing w:line="360" w:lineRule="auto"/>
        <w:ind w:firstLine="640" w:firstLineChars="200"/>
        <w:rPr>
          <w:rFonts w:ascii="宋体" w:hAnsi="宋体" w:cs="宋体"/>
          <w:spacing w:val="2"/>
          <w:sz w:val="32"/>
          <w:szCs w:val="32"/>
        </w:rPr>
      </w:pPr>
      <w:r>
        <w:rPr>
          <w:rFonts w:hint="eastAsia" w:ascii="宋体" w:hAnsi="宋体" w:cs="宋体"/>
          <w:bCs/>
          <w:sz w:val="32"/>
          <w:szCs w:val="32"/>
        </w:rPr>
        <w:t>第三部分  项目需求</w:t>
      </w:r>
    </w:p>
    <w:p>
      <w:pPr>
        <w:tabs>
          <w:tab w:val="left" w:pos="7740"/>
        </w:tabs>
        <w:adjustRightInd w:val="0"/>
        <w:snapToGrid w:val="0"/>
        <w:spacing w:line="360" w:lineRule="auto"/>
        <w:ind w:firstLine="640" w:firstLineChars="200"/>
        <w:rPr>
          <w:rFonts w:ascii="宋体" w:hAnsi="宋体" w:cs="宋体"/>
          <w:bCs/>
          <w:sz w:val="32"/>
          <w:szCs w:val="32"/>
        </w:rPr>
      </w:pPr>
      <w:r>
        <w:rPr>
          <w:rFonts w:hint="eastAsia" w:ascii="宋体" w:hAnsi="宋体" w:cs="宋体"/>
          <w:sz w:val="32"/>
          <w:szCs w:val="32"/>
        </w:rPr>
        <w:t xml:space="preserve">第四部分  </w:t>
      </w:r>
      <w:r>
        <w:rPr>
          <w:rFonts w:hint="eastAsia" w:ascii="宋体" w:hAnsi="宋体" w:cs="宋体"/>
          <w:bCs/>
          <w:sz w:val="32"/>
          <w:szCs w:val="32"/>
        </w:rPr>
        <w:t>开标和评标</w:t>
      </w:r>
    </w:p>
    <w:p>
      <w:pPr>
        <w:tabs>
          <w:tab w:val="left" w:pos="7740"/>
        </w:tabs>
        <w:adjustRightInd w:val="0"/>
        <w:snapToGrid w:val="0"/>
        <w:spacing w:line="360" w:lineRule="auto"/>
        <w:ind w:firstLine="640" w:firstLineChars="200"/>
        <w:rPr>
          <w:rFonts w:ascii="宋体" w:hAnsi="宋体" w:cs="宋体"/>
          <w:sz w:val="32"/>
          <w:szCs w:val="32"/>
        </w:rPr>
      </w:pPr>
      <w:r>
        <w:rPr>
          <w:rFonts w:hint="eastAsia" w:ascii="宋体" w:hAnsi="宋体" w:cs="宋体"/>
          <w:sz w:val="32"/>
          <w:szCs w:val="32"/>
        </w:rPr>
        <w:t>第五部分  合同主要条款</w:t>
      </w:r>
    </w:p>
    <w:p>
      <w:pPr>
        <w:tabs>
          <w:tab w:val="left" w:pos="7740"/>
        </w:tabs>
        <w:adjustRightInd w:val="0"/>
        <w:snapToGrid w:val="0"/>
        <w:spacing w:line="360" w:lineRule="auto"/>
        <w:ind w:firstLine="640" w:firstLineChars="200"/>
        <w:rPr>
          <w:rFonts w:ascii="宋体" w:hAnsi="宋体" w:cs="宋体"/>
          <w:spacing w:val="2"/>
          <w:sz w:val="32"/>
          <w:szCs w:val="32"/>
        </w:rPr>
      </w:pPr>
      <w:r>
        <w:rPr>
          <w:rFonts w:hint="eastAsia" w:ascii="宋体" w:hAnsi="宋体" w:cs="宋体"/>
          <w:bCs/>
          <w:sz w:val="32"/>
          <w:szCs w:val="32"/>
        </w:rPr>
        <w:t>第六部分  投标文件组成</w:t>
      </w:r>
    </w:p>
    <w:p>
      <w:pPr>
        <w:spacing w:line="500" w:lineRule="exact"/>
        <w:rPr>
          <w:rFonts w:ascii="宋体" w:hAnsi="宋体" w:cs="宋体"/>
          <w:b/>
          <w:sz w:val="32"/>
          <w:szCs w:val="32"/>
        </w:rPr>
      </w:pPr>
    </w:p>
    <w:p>
      <w:pPr>
        <w:pStyle w:val="204"/>
      </w:pPr>
    </w:p>
    <w:p>
      <w:pPr>
        <w:pStyle w:val="204"/>
      </w:pPr>
    </w:p>
    <w:p>
      <w:pPr>
        <w:pStyle w:val="204"/>
        <w:rPr>
          <w:bCs/>
        </w:rPr>
      </w:pPr>
    </w:p>
    <w:p>
      <w:pPr>
        <w:pStyle w:val="204"/>
        <w:rPr>
          <w:sz w:val="44"/>
          <w:szCs w:val="44"/>
        </w:rPr>
      </w:pPr>
    </w:p>
    <w:p>
      <w:pPr>
        <w:pStyle w:val="204"/>
        <w:rPr>
          <w:sz w:val="44"/>
          <w:szCs w:val="44"/>
        </w:rPr>
      </w:pPr>
    </w:p>
    <w:p>
      <w:pPr>
        <w:pStyle w:val="204"/>
        <w:rPr>
          <w:sz w:val="44"/>
          <w:szCs w:val="44"/>
        </w:rPr>
      </w:pPr>
    </w:p>
    <w:p>
      <w:pPr>
        <w:pStyle w:val="204"/>
        <w:rPr>
          <w:sz w:val="44"/>
          <w:szCs w:val="44"/>
        </w:rPr>
      </w:pPr>
    </w:p>
    <w:p>
      <w:pPr>
        <w:pStyle w:val="204"/>
        <w:rPr>
          <w:sz w:val="44"/>
          <w:szCs w:val="44"/>
        </w:rPr>
      </w:pPr>
    </w:p>
    <w:p>
      <w:pPr>
        <w:pStyle w:val="204"/>
        <w:rPr>
          <w:sz w:val="44"/>
          <w:szCs w:val="44"/>
        </w:rPr>
      </w:pPr>
    </w:p>
    <w:p>
      <w:pPr>
        <w:pStyle w:val="204"/>
        <w:rPr>
          <w:sz w:val="44"/>
          <w:szCs w:val="44"/>
        </w:rPr>
      </w:pPr>
    </w:p>
    <w:p>
      <w:pPr>
        <w:pStyle w:val="204"/>
        <w:rPr>
          <w:sz w:val="44"/>
          <w:szCs w:val="44"/>
        </w:rPr>
      </w:pPr>
    </w:p>
    <w:p>
      <w:pPr>
        <w:pStyle w:val="204"/>
        <w:rPr>
          <w:sz w:val="44"/>
          <w:szCs w:val="44"/>
        </w:rPr>
      </w:pPr>
    </w:p>
    <w:p>
      <w:pPr>
        <w:pStyle w:val="204"/>
        <w:rPr>
          <w:sz w:val="44"/>
          <w:szCs w:val="44"/>
        </w:rPr>
      </w:pPr>
    </w:p>
    <w:p>
      <w:pPr>
        <w:pStyle w:val="204"/>
      </w:pPr>
    </w:p>
    <w:p>
      <w:pPr>
        <w:pStyle w:val="204"/>
      </w:pPr>
    </w:p>
    <w:p>
      <w:pPr>
        <w:widowControl/>
        <w:jc w:val="left"/>
        <w:rPr>
          <w:rFonts w:ascii="宋体" w:hAnsi="宋体" w:cs="宋体"/>
          <w:b/>
          <w:sz w:val="36"/>
          <w:szCs w:val="36"/>
        </w:rPr>
      </w:pPr>
      <w:r>
        <w:rPr>
          <w:rFonts w:ascii="宋体" w:hAnsi="宋体" w:cs="宋体"/>
          <w:b/>
          <w:sz w:val="36"/>
          <w:szCs w:val="36"/>
        </w:rPr>
        <w:br w:type="page"/>
      </w:r>
    </w:p>
    <w:p>
      <w:pPr>
        <w:adjustRightInd w:val="0"/>
        <w:snapToGrid w:val="0"/>
        <w:spacing w:line="360" w:lineRule="auto"/>
        <w:ind w:firstLine="723" w:firstLineChars="200"/>
        <w:jc w:val="center"/>
        <w:outlineLvl w:val="0"/>
        <w:rPr>
          <w:rFonts w:ascii="宋体" w:hAnsi="宋体" w:cs="宋体"/>
          <w:b/>
          <w:sz w:val="36"/>
          <w:szCs w:val="36"/>
        </w:rPr>
      </w:pPr>
      <w:r>
        <w:rPr>
          <w:rFonts w:hint="eastAsia" w:ascii="宋体" w:hAnsi="宋体" w:cs="宋体"/>
          <w:b/>
          <w:sz w:val="36"/>
          <w:szCs w:val="36"/>
        </w:rPr>
        <w:t xml:space="preserve">第一部分  </w:t>
      </w:r>
      <w:bookmarkStart w:id="0" w:name="OLE_LINK5"/>
      <w:bookmarkStart w:id="1" w:name="OLE_LINK7"/>
      <w:r>
        <w:rPr>
          <w:rFonts w:hint="eastAsia" w:ascii="宋体" w:hAnsi="宋体" w:cs="宋体"/>
          <w:b/>
          <w:sz w:val="36"/>
          <w:szCs w:val="36"/>
        </w:rPr>
        <w:t>投标邀请</w:t>
      </w:r>
    </w:p>
    <w:p>
      <w:pPr>
        <w:adjustRightInd w:val="0"/>
        <w:snapToGrid w:val="0"/>
        <w:spacing w:line="360" w:lineRule="auto"/>
        <w:ind w:firstLine="480" w:firstLineChars="200"/>
        <w:rPr>
          <w:rFonts w:ascii="宋体" w:hAnsi="宋体" w:cs="宋体"/>
          <w:sz w:val="24"/>
        </w:rPr>
      </w:pPr>
      <w:bookmarkStart w:id="2" w:name="OLE_LINK6"/>
      <w:r>
        <w:rPr>
          <w:rFonts w:hint="eastAsia" w:ascii="宋体" w:hAnsi="宋体"/>
          <w:sz w:val="24"/>
        </w:rPr>
        <w:t>南通港集团建设投资有限公司</w:t>
      </w:r>
      <w:r>
        <w:rPr>
          <w:rFonts w:hint="eastAsia" w:ascii="宋体" w:hAnsi="宋体" w:cs="宋体"/>
          <w:sz w:val="24"/>
        </w:rPr>
        <w:t>就南通港小庙洪上延航道工程和三夹沙南航道工程海岸生态环境整治互花米草综合防治项目进行公开招标采购，欢迎符合条件的投标供应商投标。</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80" w:firstLineChars="200"/>
        <w:rPr>
          <w:rFonts w:ascii="宋体" w:hAnsi="宋体" w:cs="宋体"/>
          <w:sz w:val="24"/>
        </w:rPr>
      </w:pPr>
      <w:r>
        <w:rPr>
          <w:rFonts w:hint="eastAsia" w:ascii="宋体" w:hAnsi="宋体" w:cs="宋体"/>
          <w:sz w:val="24"/>
        </w:rPr>
        <w:t>南通港小庙洪上延航道工程和三夹沙南航道工程海岸生态环境整治互花米草综合防治项目的潜在投标供应商应在南通港集团建设投资有限公司、</w:t>
      </w:r>
      <w:r>
        <w:rPr>
          <w:rFonts w:hint="eastAsia" w:ascii="宋体" w:hAnsi="宋体" w:cs="宋体"/>
          <w:bCs/>
          <w:kern w:val="0"/>
          <w:sz w:val="24"/>
        </w:rPr>
        <w:t>南通港（港口）集团有限公司、江苏省招标投标公共服务平台</w:t>
      </w:r>
      <w:r>
        <w:rPr>
          <w:rFonts w:hint="eastAsia" w:ascii="宋体" w:hAnsi="宋体" w:cs="宋体"/>
          <w:sz w:val="24"/>
        </w:rPr>
        <w:t>获取招标文件，并于</w:t>
      </w:r>
      <w:r>
        <w:rPr>
          <w:rFonts w:hint="eastAsia" w:ascii="宋体" w:hAnsi="宋体" w:cs="宋体"/>
          <w:sz w:val="24"/>
          <w:u w:val="single"/>
        </w:rPr>
        <w:t>2024年5月6日09点30分</w:t>
      </w:r>
      <w:r>
        <w:rPr>
          <w:rFonts w:hint="eastAsia" w:ascii="宋体" w:hAnsi="宋体" w:cs="宋体"/>
          <w:sz w:val="24"/>
        </w:rPr>
        <w:t>（北京时间）前递交投标文件。</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 xml:space="preserve"> 一、项目基本情况</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项目名称：南通港小庙洪上延航道工程和三夹沙南航道工程海岸生态环境整治互花米草综合防治项目</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项目类型：服务</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所属行业：其他未列明行业</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预算金额：150万元</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最高限价：140万元（其中南通港小庙洪上延航道工程最高限价95万元，三夹沙南航道工程最高限价45万元）。报价超过总价最高限价或分项最高限价的均为无效投标处理。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采购需求：详见采购文件，请仔细研究。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合同履行期限：必须于2024年12月31日之前完成治理任务，两年管护期至2026年12月31日截止。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本项目（是/否）接受联合体投标：是。</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本项目（是/否）接受分包：否。</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本项目不接受进口产品投标。</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二、申请人的资格要求：</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（一）投标供应商必须具备以下基本条件</w:t>
      </w:r>
      <w:r>
        <w:rPr>
          <w:rFonts w:ascii="宋体" w:hAnsi="宋体" w:cs="宋体"/>
          <w:bCs/>
          <w:sz w:val="24"/>
        </w:rPr>
        <w:t>：</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1.具有独立承担民事责任的能力；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2.具有良好的商业信誉和健全的财务会计制度；</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3.具有履行合同所必需的设备和专业技术能力；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4.有依法缴纳税收和社会保障资金的良好记录；</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5.前三年内，在经营活动中没有重大违法记录；</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6.法律、行政法规规定的其他条件。</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（二）本项目的特定资格要求：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 投标供应商应具有中华人民共和国境内注册的法人资格，提供有效的营业执照或事业单位法人证书</w:t>
      </w:r>
      <w:r>
        <w:rPr>
          <w:rFonts w:hint="eastAsia" w:ascii="宋体" w:hAnsi="宋体" w:cs="宋体"/>
          <w:bCs/>
          <w:kern w:val="0"/>
          <w:sz w:val="24"/>
          <w:lang w:val="zh-CN"/>
        </w:rPr>
        <w:t>（</w:t>
      </w:r>
      <w:r>
        <w:rPr>
          <w:rFonts w:hint="eastAsia" w:ascii="宋体" w:hAnsi="宋体" w:cs="宋体"/>
          <w:bCs/>
          <w:kern w:val="0"/>
          <w:sz w:val="24"/>
        </w:rPr>
        <w:t>若为联合体投标，双方均需提供</w:t>
      </w:r>
      <w:r>
        <w:rPr>
          <w:rFonts w:hint="eastAsia" w:ascii="宋体" w:hAnsi="宋体" w:cs="宋体"/>
          <w:bCs/>
          <w:kern w:val="0"/>
          <w:sz w:val="24"/>
          <w:lang w:val="zh-CN"/>
        </w:rPr>
        <w:t>）</w:t>
      </w:r>
      <w:r>
        <w:rPr>
          <w:rFonts w:hint="eastAsia" w:ascii="宋体" w:hAnsi="宋体" w:cs="宋体"/>
          <w:sz w:val="24"/>
        </w:rPr>
        <w:t>；</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2.投标供应商如委托被授权人参与，则被授权人须为投标供应商正式职工并提供投标供应商为其缴纳的投标截止时间前三个月（不含投标截止时间当月）中至少一个月的养老保险缴纳证明材料，事业单位无法提供社保证明的，须提供本单位盖章的承诺证明；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3.未被“信用中国”网站（www.creditchina.gov.cn）列入失信被执行人、重大税收违法失信主体、政府采购严重违法失信行为记录名单（若为联合体形式参与投标，双方均需满足要求）。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4.投标供应商承担过已完类似的业绩【类似业绩指：指与海岸带生态修复和保护或海滩生态修复和保护、或湿地生态修复和保护、或水系综合治理(仅限河、湖、海洋岸带的水系综合治理）项目】。</w:t>
      </w:r>
    </w:p>
    <w:p>
      <w:pPr>
        <w:pStyle w:val="2"/>
        <w:ind w:firstLine="480" w:firstLineChars="200"/>
      </w:pPr>
      <w:r>
        <w:rPr>
          <w:rFonts w:hint="eastAsia" w:ascii="宋体" w:hAnsi="宋体" w:eastAsia="宋体" w:cs="宋体"/>
          <w:sz w:val="24"/>
          <w:szCs w:val="24"/>
        </w:rPr>
        <w:t>注：需同时提供中标（或成交）通知书（或直接委托证明）、项目合同及项目已完证明（如专家评审意见或验收证书或业主单位证明等）的复印件并加盖公章，三者缺一不可。</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5.本项目接受联合体投标，联合体具体要求：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①联合体成员总数不得超过2家（含2家），其中一家成员单位承担方案设计任务，一家成员单位承担施工任务。</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②联合体各方必须签订联合体协议书，明确联合体牵头人和各方职责分工、权利义务，各联合体成员所占合同总金额比例，并承诺就成交项目向采购人承担连带责任。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③联合体各方不得单独参加或者与其他供应商另外组成联合体参加同一合同项下的政府采购活动。</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④联合体各方应分别按照本招标文件的要求，填写投标文件中的相应表格，并由联合体牵头人负责对联合体各成员的资料进行统一汇总后一并提交给采购人；联合体牵头人所提交的投标文件应认为已代表了联合体各成员的真实情况。</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⑤尽管委任了联合体牵头人，但联合体各成员在投标、签约与履行合同过程中，仍负有连带的和各自的法律责任。</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6.单位负责人为同一人或者存在直接控股、管理关系的不同投标供应商,不得参加同一合同项下的国企采购活动。</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三、获取招标文件</w:t>
      </w:r>
    </w:p>
    <w:p>
      <w:pPr>
        <w:adjustRightInd w:val="0"/>
        <w:snapToGrid w:val="0"/>
        <w:spacing w:line="360" w:lineRule="auto"/>
        <w:ind w:firstLine="480" w:firstLineChars="200"/>
        <w:rPr>
          <w:rFonts w:ascii="宋体" w:hAnsi="宋体" w:cs="宋体"/>
          <w:sz w:val="24"/>
        </w:rPr>
      </w:pPr>
      <w:r>
        <w:rPr>
          <w:rFonts w:hint="eastAsia" w:ascii="宋体" w:hAnsi="宋体"/>
          <w:sz w:val="24"/>
        </w:rPr>
        <w:t>凡有意愿参与本项目的投标供应商，自本公告上网发布之日起至2024年4月30日，每日工作时间：上午9:00—11:30整，下午13:30—17:30整（节假日除外）按照招标公告下附件《申请函》的形式，回函（加盖公章）发彩色扫描件至邮箱中，并致电代理机构确认邮件送达，确认是否参与本次采购项目、获取招标文件的相关事宜（请自行在</w:t>
      </w:r>
      <w:r>
        <w:rPr>
          <w:rFonts w:hint="eastAsia" w:ascii="宋体" w:hAnsi="宋体" w:cs="宋体"/>
          <w:sz w:val="24"/>
        </w:rPr>
        <w:t>南通港集团建设投资有限公司、</w:t>
      </w:r>
      <w:r>
        <w:rPr>
          <w:rFonts w:hint="eastAsia" w:ascii="宋体" w:hAnsi="宋体" w:cs="宋体"/>
          <w:bCs/>
          <w:kern w:val="0"/>
          <w:sz w:val="24"/>
        </w:rPr>
        <w:t>南通港（港口）集团有限公司、江苏省招标投标公共服务平台网站</w:t>
      </w:r>
      <w:r>
        <w:rPr>
          <w:rFonts w:hint="eastAsia" w:ascii="宋体" w:hAnsi="宋体"/>
          <w:sz w:val="24"/>
        </w:rPr>
        <w:t>查看和下载招标公告和招标文件。）（联系人：赵先生，联系电话：18012263023）</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四、提交投标文件截止时间和地点、开标时间和地点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1.投标文件递交截止时间及地点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投标文件递交截止时间：2024年5月6日9时30分（北京时间）</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投标文件递交地点：南通市崇川区青年西路</w:t>
      </w:r>
      <w:r>
        <w:rPr>
          <w:rFonts w:ascii="宋体" w:hAnsi="宋体" w:cs="宋体"/>
          <w:sz w:val="24"/>
        </w:rPr>
        <w:t>38号港口大厦</w:t>
      </w:r>
      <w:r>
        <w:rPr>
          <w:rFonts w:hint="eastAsia" w:ascii="宋体" w:hAnsi="宋体" w:cs="宋体"/>
          <w:sz w:val="24"/>
        </w:rPr>
        <w:t>八楼西会议室，如有变化另行通知。</w:t>
      </w:r>
    </w:p>
    <w:p>
      <w:pPr>
        <w:adjustRightInd w:val="0"/>
        <w:snapToGrid w:val="0"/>
        <w:spacing w:line="360" w:lineRule="auto"/>
        <w:ind w:firstLine="482" w:firstLineChars="200"/>
        <w:rPr>
          <w:rFonts w:ascii="宋体" w:hAnsi="宋体" w:cs="宋体"/>
          <w:sz w:val="24"/>
        </w:rPr>
      </w:pPr>
      <w:r>
        <w:rPr>
          <w:rFonts w:hint="eastAsia" w:ascii="宋体" w:hAnsi="宋体" w:cs="宋体"/>
          <w:b/>
          <w:sz w:val="24"/>
        </w:rPr>
        <w:t>逾期送达的或者未送达指定地点的投标文件，采购人不予受理。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2.开标时间及地点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开标时间：2024年5月6日9时30分（北京时间）</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开标地点：南通市崇川区青年西路38号港口大厦八楼西会议室，如有变化另行通知。</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五、公告期限</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自本公告发布之日起5个工作日。</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六、其他补充事宜</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1.投标保证金：免收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2.项目开标活动模式：本项目采用纸质投标，现场开标模式。</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3.项目演示、样品、答辩等（如有请描述）：无。</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4.对项目需求部分（投标供应商资格要求、项目需求、商务技术评分标准）的询问、质疑请向采购人提出，由采购人负责答复；对招标文件其他部分的询问请向采购代理机构提出。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投标供应商应依照规定提交各类声明函、承诺函，不再同时提供原件备查或提供有关部门出具的相关证明文件。但成交供应商应做好提交声明函、承诺函相应原件的核查准备；核查后发现虚假或违背承诺的，依照相关法律法规规定处理。</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七、对本次招标提出询问，请按以下方式联系。</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1.采购人信息</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名称：南通港集团建设投资有限公司</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地址：江苏省通州湾江海联动开发示范区东海大道88号7号楼</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联系人：冯佳慧（商务），刘海兵（技术）</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联系方式：0513-86920176</w:t>
      </w:r>
    </w:p>
    <w:p>
      <w:pPr>
        <w:adjustRightInd w:val="0"/>
        <w:snapToGrid w:val="0"/>
        <w:spacing w:line="360" w:lineRule="auto"/>
        <w:ind w:firstLine="480" w:firstLineChars="200"/>
        <w:rPr>
          <w:rFonts w:ascii="宋体" w:hAnsi="宋体"/>
          <w:sz w:val="24"/>
        </w:rPr>
      </w:pPr>
      <w:r>
        <w:rPr>
          <w:rFonts w:hint="eastAsia" w:ascii="宋体" w:hAnsi="宋体"/>
          <w:sz w:val="24"/>
        </w:rPr>
        <w:t>2.采购代理机构信息</w:t>
      </w:r>
    </w:p>
    <w:p>
      <w:pPr>
        <w:adjustRightInd w:val="0"/>
        <w:snapToGrid w:val="0"/>
        <w:spacing w:line="360" w:lineRule="auto"/>
        <w:ind w:firstLine="480" w:firstLineChars="200"/>
        <w:rPr>
          <w:rFonts w:ascii="宋体" w:hAnsi="宋体"/>
          <w:sz w:val="24"/>
        </w:rPr>
      </w:pPr>
      <w:r>
        <w:rPr>
          <w:rFonts w:hint="eastAsia" w:ascii="宋体" w:hAnsi="宋体"/>
          <w:sz w:val="24"/>
        </w:rPr>
        <w:t>名称：中诚智信工程咨询集团股份有限公司</w:t>
      </w:r>
    </w:p>
    <w:p>
      <w:pPr>
        <w:adjustRightInd w:val="0"/>
        <w:snapToGrid w:val="0"/>
        <w:spacing w:line="360" w:lineRule="auto"/>
        <w:ind w:firstLine="480" w:firstLineChars="200"/>
        <w:rPr>
          <w:rFonts w:ascii="宋体" w:hAnsi="宋体"/>
          <w:sz w:val="24"/>
        </w:rPr>
      </w:pPr>
      <w:r>
        <w:rPr>
          <w:rFonts w:hint="eastAsia" w:ascii="宋体" w:hAnsi="宋体"/>
          <w:sz w:val="24"/>
        </w:rPr>
        <w:t>地址：苏州市高新区科技城潇湘路99号诚来智大楼5楼</w:t>
      </w:r>
    </w:p>
    <w:p>
      <w:pPr>
        <w:adjustRightInd w:val="0"/>
        <w:snapToGrid w:val="0"/>
        <w:spacing w:line="360" w:lineRule="auto"/>
        <w:ind w:firstLine="480" w:firstLineChars="200"/>
        <w:rPr>
          <w:rFonts w:ascii="宋体" w:hAnsi="宋体"/>
          <w:sz w:val="24"/>
        </w:rPr>
      </w:pPr>
      <w:r>
        <w:rPr>
          <w:rFonts w:hint="eastAsia" w:ascii="宋体" w:hAnsi="宋体"/>
          <w:sz w:val="24"/>
        </w:rPr>
        <w:t>联系人：周璟、吕俊峰</w:t>
      </w:r>
    </w:p>
    <w:p>
      <w:pPr>
        <w:adjustRightInd w:val="0"/>
        <w:snapToGrid w:val="0"/>
        <w:spacing w:line="360" w:lineRule="auto"/>
        <w:ind w:firstLine="480" w:firstLineChars="200"/>
        <w:rPr>
          <w:rFonts w:ascii="宋体" w:hAnsi="宋体"/>
          <w:sz w:val="24"/>
        </w:rPr>
      </w:pPr>
      <w:r>
        <w:rPr>
          <w:rFonts w:hint="eastAsia" w:ascii="宋体" w:hAnsi="宋体"/>
          <w:sz w:val="24"/>
        </w:rPr>
        <w:t>电话：15062739948（周璟）、18550663166（吕俊峰）</w:t>
      </w:r>
    </w:p>
    <w:p>
      <w:pPr>
        <w:adjustRightInd w:val="0"/>
        <w:snapToGrid w:val="0"/>
        <w:spacing w:line="360" w:lineRule="auto"/>
        <w:ind w:firstLine="480" w:firstLineChars="200"/>
        <w:rPr>
          <w:rFonts w:ascii="宋体" w:hAnsi="宋体"/>
          <w:sz w:val="24"/>
        </w:rPr>
      </w:pPr>
      <w:r>
        <w:rPr>
          <w:rFonts w:hint="eastAsia" w:ascii="宋体" w:hAnsi="宋体"/>
          <w:sz w:val="24"/>
        </w:rPr>
        <w:t>电子邮箱：szzcjyb@126.com</w:t>
      </w:r>
    </w:p>
    <w:p>
      <w:pPr>
        <w:adjustRightInd w:val="0"/>
        <w:snapToGrid w:val="0"/>
        <w:spacing w:line="360" w:lineRule="auto"/>
        <w:ind w:firstLine="723" w:firstLineChars="200"/>
        <w:rPr>
          <w:rFonts w:ascii="宋体" w:hAnsi="宋体" w:cs="宋体"/>
          <w:b/>
          <w:sz w:val="36"/>
          <w:szCs w:val="36"/>
        </w:rPr>
      </w:pPr>
      <w:r>
        <w:rPr>
          <w:rFonts w:ascii="宋体" w:hAnsi="宋体" w:cs="宋体"/>
          <w:b/>
          <w:sz w:val="36"/>
          <w:szCs w:val="36"/>
        </w:rPr>
        <w:br w:type="page"/>
      </w:r>
    </w:p>
    <w:p>
      <w:pPr>
        <w:adjustRightInd w:val="0"/>
        <w:snapToGrid w:val="0"/>
        <w:spacing w:line="500" w:lineRule="exact"/>
        <w:rPr>
          <w:rFonts w:ascii="宋体" w:hAnsi="宋体"/>
          <w:kern w:val="0"/>
          <w:sz w:val="28"/>
          <w:szCs w:val="28"/>
        </w:rPr>
      </w:pPr>
      <w:r>
        <w:rPr>
          <w:rFonts w:hint="eastAsia" w:ascii="宋体" w:hAnsi="宋体"/>
          <w:kern w:val="0"/>
          <w:sz w:val="28"/>
          <w:szCs w:val="28"/>
        </w:rPr>
        <w:t>附件</w:t>
      </w:r>
    </w:p>
    <w:p>
      <w:pPr>
        <w:spacing w:line="420" w:lineRule="exact"/>
        <w:jc w:val="center"/>
        <w:rPr>
          <w:rFonts w:ascii="宋体" w:hAnsi="宋体"/>
          <w:b/>
          <w:kern w:val="0"/>
          <w:sz w:val="32"/>
          <w:szCs w:val="20"/>
        </w:rPr>
      </w:pPr>
      <w:r>
        <w:rPr>
          <w:rFonts w:hint="eastAsia" w:ascii="宋体" w:hAnsi="宋体"/>
          <w:b/>
          <w:kern w:val="0"/>
          <w:sz w:val="32"/>
          <w:szCs w:val="20"/>
        </w:rPr>
        <w:t>申请函</w:t>
      </w:r>
    </w:p>
    <w:p>
      <w:pPr>
        <w:spacing w:line="420" w:lineRule="exact"/>
        <w:jc w:val="left"/>
        <w:rPr>
          <w:rFonts w:ascii="宋体" w:hAnsi="宋体"/>
          <w:b/>
          <w:kern w:val="0"/>
          <w:sz w:val="32"/>
          <w:szCs w:val="20"/>
        </w:rPr>
      </w:pPr>
    </w:p>
    <w:p>
      <w:pPr>
        <w:adjustRightInd w:val="0"/>
        <w:snapToGrid w:val="0"/>
        <w:spacing w:line="360" w:lineRule="auto"/>
        <w:jc w:val="left"/>
        <w:rPr>
          <w:rFonts w:ascii="宋体" w:hAnsi="宋体"/>
          <w:b/>
          <w:kern w:val="0"/>
          <w:sz w:val="24"/>
          <w:u w:val="single"/>
        </w:rPr>
      </w:pPr>
      <w:r>
        <w:rPr>
          <w:rFonts w:hint="eastAsia" w:ascii="宋体" w:hAnsi="宋体"/>
          <w:b/>
          <w:kern w:val="0"/>
          <w:sz w:val="24"/>
        </w:rPr>
        <w:t>致：</w:t>
      </w:r>
      <w:r>
        <w:rPr>
          <w:rFonts w:hint="eastAsia" w:ascii="宋体" w:hAnsi="宋体" w:cs="宋体"/>
          <w:b/>
          <w:spacing w:val="7"/>
          <w:kern w:val="0"/>
          <w:sz w:val="24"/>
          <w:u w:val="single"/>
        </w:rPr>
        <w:t>（采购人名称）</w:t>
      </w:r>
    </w:p>
    <w:p>
      <w:pPr>
        <w:widowControl/>
        <w:shd w:val="clear" w:color="auto" w:fill="FFFFFF"/>
        <w:adjustRightInd w:val="0"/>
        <w:snapToGrid w:val="0"/>
        <w:spacing w:line="360" w:lineRule="auto"/>
        <w:ind w:firstLine="480" w:firstLineChars="200"/>
        <w:jc w:val="left"/>
        <w:rPr>
          <w:rFonts w:ascii="宋体" w:hAnsi="宋体"/>
          <w:kern w:val="0"/>
          <w:sz w:val="24"/>
        </w:rPr>
      </w:pPr>
      <w:r>
        <w:rPr>
          <w:rFonts w:hint="eastAsia" w:ascii="宋体" w:hAnsi="宋体"/>
          <w:kern w:val="0"/>
          <w:sz w:val="24"/>
        </w:rPr>
        <w:t>我公司已获悉贵单位发出的</w:t>
      </w:r>
      <w:r>
        <w:rPr>
          <w:rFonts w:hint="eastAsia" w:ascii="宋体" w:hAnsi="宋体" w:cs="宋体"/>
          <w:sz w:val="24"/>
        </w:rPr>
        <w:t>南通港小庙洪上延航道工程和三夹沙南航道工程海岸生态环境整治互花米草综合防治项目</w:t>
      </w:r>
      <w:r>
        <w:rPr>
          <w:rFonts w:hint="eastAsia" w:ascii="宋体" w:hAnsi="宋体" w:cs="宋体"/>
          <w:spacing w:val="7"/>
          <w:kern w:val="0"/>
          <w:sz w:val="24"/>
        </w:rPr>
        <w:t>招标公告</w:t>
      </w:r>
      <w:r>
        <w:rPr>
          <w:rFonts w:hint="eastAsia" w:ascii="宋体" w:hAnsi="宋体"/>
          <w:kern w:val="0"/>
          <w:sz w:val="24"/>
        </w:rPr>
        <w:t>，经研究，我单位拟参加本项目的投标，现申请获取招标文件。</w:t>
      </w:r>
    </w:p>
    <w:p>
      <w:pPr>
        <w:adjustRightInd w:val="0"/>
        <w:snapToGrid w:val="0"/>
        <w:spacing w:line="360" w:lineRule="auto"/>
        <w:ind w:firstLine="480" w:firstLineChars="200"/>
        <w:jc w:val="left"/>
        <w:rPr>
          <w:rFonts w:ascii="宋体" w:hAnsi="宋体"/>
          <w:kern w:val="0"/>
          <w:sz w:val="24"/>
        </w:rPr>
      </w:pPr>
      <w:r>
        <w:rPr>
          <w:rFonts w:hint="eastAsia" w:ascii="宋体" w:hAnsi="宋体"/>
          <w:kern w:val="0"/>
          <w:sz w:val="24"/>
        </w:rPr>
        <w:t>联系人：</w:t>
      </w:r>
      <w:r>
        <w:rPr>
          <w:rFonts w:ascii="宋体" w:hAnsi="宋体" w:cs="宋体"/>
          <w:spacing w:val="7"/>
          <w:kern w:val="0"/>
          <w:sz w:val="24"/>
          <w:u w:val="single"/>
        </w:rPr>
        <w:t xml:space="preserve">   </w:t>
      </w:r>
    </w:p>
    <w:p>
      <w:pPr>
        <w:adjustRightInd w:val="0"/>
        <w:snapToGrid w:val="0"/>
        <w:spacing w:line="360" w:lineRule="auto"/>
        <w:ind w:firstLine="480" w:firstLineChars="200"/>
        <w:jc w:val="left"/>
        <w:rPr>
          <w:rFonts w:ascii="宋体" w:hAnsi="宋体"/>
          <w:kern w:val="0"/>
          <w:sz w:val="24"/>
        </w:rPr>
      </w:pPr>
      <w:r>
        <w:rPr>
          <w:rFonts w:hint="eastAsia" w:ascii="宋体" w:hAnsi="宋体"/>
          <w:kern w:val="0"/>
          <w:sz w:val="24"/>
        </w:rPr>
        <w:t>联系电话：</w:t>
      </w:r>
      <w:r>
        <w:rPr>
          <w:rFonts w:ascii="宋体" w:hAnsi="宋体" w:cs="宋体"/>
          <w:spacing w:val="7"/>
          <w:kern w:val="0"/>
          <w:sz w:val="24"/>
          <w:u w:val="single"/>
        </w:rPr>
        <w:t xml:space="preserve">   </w:t>
      </w:r>
    </w:p>
    <w:p>
      <w:pPr>
        <w:adjustRightInd w:val="0"/>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E-MAIL地址：</w:t>
      </w:r>
      <w:r>
        <w:rPr>
          <w:rFonts w:ascii="宋体" w:hAnsi="宋体" w:cs="宋体"/>
          <w:spacing w:val="7"/>
          <w:kern w:val="0"/>
          <w:sz w:val="24"/>
          <w:u w:val="single"/>
        </w:rPr>
        <w:t xml:space="preserve">   </w:t>
      </w:r>
    </w:p>
    <w:p>
      <w:pPr>
        <w:adjustRightInd w:val="0"/>
        <w:snapToGrid w:val="0"/>
        <w:spacing w:line="360" w:lineRule="auto"/>
        <w:jc w:val="left"/>
        <w:rPr>
          <w:rFonts w:ascii="宋体" w:hAnsi="宋体" w:cs="宋体"/>
          <w:kern w:val="0"/>
          <w:sz w:val="24"/>
          <w:lang w:val="zh-CN"/>
        </w:rPr>
      </w:pPr>
    </w:p>
    <w:p>
      <w:pPr>
        <w:adjustRightInd w:val="0"/>
        <w:snapToGrid w:val="0"/>
        <w:spacing w:line="360" w:lineRule="auto"/>
        <w:ind w:firstLine="6960" w:firstLineChars="2900"/>
        <w:jc w:val="left"/>
        <w:rPr>
          <w:rFonts w:ascii="宋体" w:hAnsi="宋体" w:cs="宋体"/>
          <w:kern w:val="0"/>
          <w:sz w:val="24"/>
          <w:u w:val="single"/>
          <w:lang w:val="zh-CN"/>
        </w:rPr>
      </w:pPr>
      <w:r>
        <w:rPr>
          <w:rFonts w:hint="eastAsia" w:ascii="宋体" w:hAnsi="宋体" w:cs="宋体"/>
          <w:kern w:val="0"/>
          <w:sz w:val="24"/>
          <w:lang w:val="zh-CN"/>
        </w:rPr>
        <w:t>单位：</w:t>
      </w:r>
      <w:r>
        <w:rPr>
          <w:rFonts w:hint="eastAsia" w:ascii="宋体" w:hAnsi="宋体" w:cs="宋体"/>
          <w:kern w:val="0"/>
          <w:sz w:val="24"/>
          <w:u w:val="single"/>
          <w:lang w:val="zh-CN"/>
        </w:rPr>
        <w:t xml:space="preserve"> （盖章）                 </w:t>
      </w:r>
    </w:p>
    <w:p>
      <w:pPr>
        <w:adjustRightInd w:val="0"/>
        <w:snapToGrid w:val="0"/>
        <w:spacing w:line="360" w:lineRule="auto"/>
        <w:jc w:val="right"/>
        <w:rPr>
          <w:rFonts w:ascii="宋体" w:hAnsi="宋体"/>
          <w:kern w:val="0"/>
          <w:sz w:val="24"/>
        </w:rPr>
      </w:pPr>
      <w:r>
        <w:rPr>
          <w:rFonts w:ascii="宋体" w:hAnsi="宋体" w:cs="宋体"/>
          <w:spacing w:val="7"/>
          <w:kern w:val="0"/>
          <w:sz w:val="24"/>
          <w:u w:val="single"/>
        </w:rPr>
        <w:t xml:space="preserve">   </w:t>
      </w:r>
      <w:r>
        <w:rPr>
          <w:rFonts w:hint="eastAsia" w:ascii="宋体" w:hAnsi="宋体" w:cs="宋体"/>
          <w:kern w:val="0"/>
          <w:sz w:val="24"/>
          <w:lang w:val="zh-CN"/>
        </w:rPr>
        <w:t>年</w:t>
      </w:r>
      <w:r>
        <w:rPr>
          <w:rFonts w:ascii="宋体" w:hAnsi="宋体" w:cs="宋体"/>
          <w:spacing w:val="7"/>
          <w:kern w:val="0"/>
          <w:sz w:val="24"/>
          <w:u w:val="single"/>
        </w:rPr>
        <w:t xml:space="preserve">   </w:t>
      </w:r>
      <w:r>
        <w:rPr>
          <w:rFonts w:hint="eastAsia" w:ascii="宋体" w:hAnsi="宋体" w:cs="宋体"/>
          <w:kern w:val="0"/>
          <w:sz w:val="24"/>
          <w:lang w:val="zh-CN"/>
        </w:rPr>
        <w:t>月</w:t>
      </w:r>
      <w:r>
        <w:rPr>
          <w:rFonts w:ascii="宋体" w:hAnsi="宋体" w:cs="宋体"/>
          <w:spacing w:val="7"/>
          <w:kern w:val="0"/>
          <w:sz w:val="24"/>
          <w:u w:val="single"/>
        </w:rPr>
        <w:t xml:space="preserve">   </w:t>
      </w:r>
      <w:r>
        <w:rPr>
          <w:rFonts w:hint="eastAsia" w:ascii="宋体" w:hAnsi="宋体" w:cs="宋体"/>
          <w:kern w:val="0"/>
          <w:sz w:val="24"/>
          <w:lang w:val="zh-CN"/>
        </w:rPr>
        <w:t>日</w:t>
      </w:r>
    </w:p>
    <w:p>
      <w:pPr>
        <w:widowControl/>
        <w:jc w:val="left"/>
        <w:rPr>
          <w:rFonts w:ascii="宋体" w:hAnsi="宋体" w:cs="宋体"/>
          <w:b/>
          <w:sz w:val="36"/>
          <w:szCs w:val="36"/>
        </w:rPr>
      </w:pPr>
      <w:r>
        <w:rPr>
          <w:rFonts w:ascii="宋体" w:hAnsi="宋体" w:cs="宋体"/>
          <w:b/>
          <w:sz w:val="36"/>
          <w:szCs w:val="36"/>
        </w:rPr>
        <w:br w:type="page"/>
      </w:r>
    </w:p>
    <w:p>
      <w:pPr>
        <w:widowControl/>
        <w:jc w:val="center"/>
        <w:rPr>
          <w:rFonts w:ascii="宋体" w:hAnsi="宋体" w:cs="宋体"/>
          <w:b/>
          <w:sz w:val="36"/>
          <w:szCs w:val="36"/>
        </w:rPr>
      </w:pPr>
      <w:r>
        <w:rPr>
          <w:rFonts w:hint="eastAsia" w:ascii="宋体" w:hAnsi="宋体" w:cs="宋体"/>
          <w:b/>
          <w:sz w:val="36"/>
          <w:szCs w:val="36"/>
        </w:rPr>
        <w:t>第二部分  投标须知</w:t>
      </w:r>
    </w:p>
    <w:p>
      <w:pPr>
        <w:pStyle w:val="5"/>
        <w:adjustRightInd w:val="0"/>
        <w:snapToGrid w:val="0"/>
        <w:spacing w:before="0" w:after="0" w:line="360" w:lineRule="auto"/>
        <w:ind w:firstLine="482" w:firstLineChars="200"/>
        <w:rPr>
          <w:rFonts w:ascii="宋体" w:hAnsi="宋体" w:cs="宋体"/>
          <w:sz w:val="24"/>
          <w:szCs w:val="24"/>
        </w:rPr>
      </w:pPr>
      <w:bookmarkStart w:id="3" w:name="_Toc120614214"/>
      <w:bookmarkStart w:id="4" w:name="_Toc20823275"/>
      <w:bookmarkStart w:id="5" w:name="_Toc16938519"/>
      <w:bookmarkStart w:id="6" w:name="_Toc513029203"/>
      <w:r>
        <w:rPr>
          <w:rFonts w:hint="eastAsia" w:ascii="宋体" w:hAnsi="宋体" w:cs="宋体"/>
          <w:sz w:val="24"/>
          <w:szCs w:val="24"/>
        </w:rPr>
        <w:t>（一）总则</w:t>
      </w:r>
      <w:bookmarkEnd w:id="3"/>
      <w:bookmarkEnd w:id="4"/>
      <w:bookmarkEnd w:id="5"/>
      <w:bookmarkEnd w:id="6"/>
    </w:p>
    <w:p>
      <w:pPr>
        <w:pStyle w:val="6"/>
        <w:adjustRightInd w:val="0"/>
        <w:snapToGrid w:val="0"/>
        <w:spacing w:line="360" w:lineRule="auto"/>
        <w:ind w:firstLine="480" w:firstLineChars="200"/>
        <w:jc w:val="both"/>
        <w:rPr>
          <w:rFonts w:ascii="宋体" w:hAnsi="宋体" w:eastAsia="宋体" w:cs="宋体"/>
          <w:b/>
          <w:bCs/>
          <w:sz w:val="24"/>
          <w:szCs w:val="24"/>
        </w:rPr>
      </w:pPr>
      <w:bookmarkStart w:id="7" w:name="_Hlt16619475"/>
      <w:bookmarkEnd w:id="7"/>
      <w:bookmarkStart w:id="8" w:name="_Toc458694821"/>
      <w:bookmarkStart w:id="9" w:name="_Toc513029204"/>
      <w:bookmarkStart w:id="10" w:name="_Toc16938520"/>
      <w:bookmarkStart w:id="11" w:name="_Toc20823276"/>
      <w:r>
        <w:rPr>
          <w:rFonts w:hint="eastAsia" w:ascii="宋体" w:hAnsi="宋体" w:eastAsia="宋体" w:cs="宋体"/>
          <w:sz w:val="24"/>
          <w:szCs w:val="24"/>
        </w:rPr>
        <w:t>1</w:t>
      </w:r>
      <w:bookmarkEnd w:id="8"/>
      <w:r>
        <w:rPr>
          <w:rFonts w:hint="eastAsia" w:ascii="宋体" w:hAnsi="宋体" w:eastAsia="宋体" w:cs="宋体"/>
          <w:sz w:val="24"/>
          <w:szCs w:val="24"/>
        </w:rPr>
        <w:t>.招标方式</w:t>
      </w:r>
      <w:bookmarkEnd w:id="9"/>
      <w:bookmarkEnd w:id="10"/>
      <w:bookmarkEnd w:id="11"/>
    </w:p>
    <w:p>
      <w:pPr>
        <w:adjustRightInd w:val="0"/>
        <w:snapToGrid w:val="0"/>
        <w:spacing w:line="360" w:lineRule="auto"/>
        <w:ind w:firstLine="480" w:firstLineChars="200"/>
        <w:rPr>
          <w:rFonts w:ascii="宋体" w:hAnsi="宋体" w:cs="宋体"/>
          <w:sz w:val="24"/>
        </w:rPr>
      </w:pPr>
      <w:r>
        <w:rPr>
          <w:rFonts w:hint="eastAsia" w:ascii="宋体" w:hAnsi="宋体" w:cs="宋体"/>
          <w:sz w:val="24"/>
        </w:rPr>
        <w:t>1.1 本次招标采取公开招标方式，本招标文件仅适用于招标公告中所述项目。</w:t>
      </w:r>
    </w:p>
    <w:p>
      <w:pPr>
        <w:pStyle w:val="6"/>
        <w:adjustRightInd w:val="0"/>
        <w:snapToGrid w:val="0"/>
        <w:spacing w:line="360" w:lineRule="auto"/>
        <w:ind w:firstLine="480" w:firstLineChars="200"/>
        <w:jc w:val="both"/>
        <w:rPr>
          <w:rFonts w:ascii="宋体" w:hAnsi="宋体" w:eastAsia="宋体" w:cs="宋体"/>
          <w:b/>
          <w:bCs/>
          <w:sz w:val="24"/>
          <w:szCs w:val="24"/>
        </w:rPr>
      </w:pPr>
      <w:bookmarkStart w:id="12" w:name="_Toc513029205"/>
      <w:bookmarkStart w:id="13" w:name="_Toc20823277"/>
      <w:bookmarkStart w:id="14" w:name="_Toc16938521"/>
      <w:r>
        <w:rPr>
          <w:rFonts w:hint="eastAsia" w:ascii="宋体" w:hAnsi="宋体" w:eastAsia="宋体" w:cs="宋体"/>
          <w:sz w:val="24"/>
          <w:szCs w:val="24"/>
        </w:rPr>
        <w:t>2.合格的</w:t>
      </w:r>
      <w:bookmarkEnd w:id="12"/>
      <w:bookmarkEnd w:id="13"/>
      <w:bookmarkEnd w:id="14"/>
      <w:r>
        <w:rPr>
          <w:rFonts w:hint="eastAsia" w:ascii="宋体" w:hAnsi="宋体" w:eastAsia="宋体" w:cs="宋体"/>
          <w:sz w:val="24"/>
          <w:szCs w:val="24"/>
        </w:rPr>
        <w:t>投标供应商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2.1满足招标公告中投标供应商的资格要求的规定。</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2.2 满足本文件实质性条款的规定。</w:t>
      </w:r>
    </w:p>
    <w:p>
      <w:pPr>
        <w:pStyle w:val="6"/>
        <w:adjustRightInd w:val="0"/>
        <w:snapToGrid w:val="0"/>
        <w:spacing w:line="360" w:lineRule="auto"/>
        <w:ind w:firstLine="480" w:firstLineChars="200"/>
        <w:jc w:val="both"/>
        <w:rPr>
          <w:rFonts w:ascii="宋体" w:hAnsi="宋体" w:eastAsia="宋体" w:cs="宋体"/>
          <w:b/>
          <w:bCs/>
          <w:sz w:val="24"/>
          <w:szCs w:val="24"/>
        </w:rPr>
      </w:pPr>
      <w:bookmarkStart w:id="15" w:name="_Toc20823278"/>
      <w:bookmarkStart w:id="16" w:name="_Toc513029206"/>
      <w:bookmarkStart w:id="17" w:name="_Toc16938522"/>
      <w:r>
        <w:rPr>
          <w:rFonts w:hint="eastAsia" w:ascii="宋体" w:hAnsi="宋体" w:eastAsia="宋体" w:cs="宋体"/>
          <w:sz w:val="24"/>
          <w:szCs w:val="24"/>
        </w:rPr>
        <w:t>3.适用法律</w:t>
      </w:r>
      <w:bookmarkEnd w:id="15"/>
      <w:bookmarkEnd w:id="16"/>
      <w:bookmarkEnd w:id="17"/>
    </w:p>
    <w:p>
      <w:pPr>
        <w:adjustRightInd w:val="0"/>
        <w:snapToGrid w:val="0"/>
        <w:spacing w:line="360" w:lineRule="auto"/>
        <w:ind w:firstLine="480" w:firstLineChars="200"/>
        <w:rPr>
          <w:rFonts w:ascii="宋体" w:hAnsi="宋体" w:cs="宋体"/>
          <w:sz w:val="24"/>
        </w:rPr>
      </w:pPr>
      <w:r>
        <w:rPr>
          <w:rFonts w:hint="eastAsia" w:ascii="宋体" w:hAnsi="宋体" w:cs="宋体"/>
          <w:sz w:val="24"/>
        </w:rPr>
        <w:t>3.1 本次招标及由此产生的合同受中华人民共和国有关的法律法规制约和保护。</w:t>
      </w:r>
    </w:p>
    <w:p>
      <w:pPr>
        <w:pStyle w:val="6"/>
        <w:adjustRightInd w:val="0"/>
        <w:snapToGrid w:val="0"/>
        <w:spacing w:line="360" w:lineRule="auto"/>
        <w:ind w:firstLine="480" w:firstLineChars="200"/>
        <w:jc w:val="both"/>
        <w:rPr>
          <w:rFonts w:ascii="宋体" w:hAnsi="宋体" w:eastAsia="宋体" w:cs="宋体"/>
          <w:b/>
          <w:bCs/>
          <w:sz w:val="24"/>
          <w:szCs w:val="24"/>
        </w:rPr>
      </w:pPr>
      <w:bookmarkStart w:id="18" w:name="_Toc20823279"/>
      <w:bookmarkStart w:id="19" w:name="_Toc513029207"/>
      <w:bookmarkStart w:id="20" w:name="_Toc462564067"/>
      <w:bookmarkStart w:id="21" w:name="_Toc16938523"/>
      <w:r>
        <w:rPr>
          <w:rFonts w:hint="eastAsia" w:ascii="宋体" w:hAnsi="宋体" w:eastAsia="宋体" w:cs="宋体"/>
          <w:sz w:val="24"/>
          <w:szCs w:val="24"/>
        </w:rPr>
        <w:t>4.投标费用</w:t>
      </w:r>
      <w:bookmarkEnd w:id="18"/>
      <w:bookmarkEnd w:id="19"/>
      <w:bookmarkEnd w:id="20"/>
      <w:bookmarkEnd w:id="21"/>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4.1</w:t>
      </w:r>
      <w:r>
        <w:rPr>
          <w:rFonts w:hint="eastAsia" w:ascii="宋体" w:hAnsi="宋体" w:cs="宋体"/>
          <w:sz w:val="24"/>
        </w:rPr>
        <w:t xml:space="preserve"> 投标供应商应自行承担所有与参加投标有关的费用，无论投标过程中的做法和结果如何，采购代理机构和采购人在任何情况下均无义务和责任承担这些费用。</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4.2本次招标采购代理机构和采购人不收取标书工本费与成交服务费。</w:t>
      </w:r>
    </w:p>
    <w:p>
      <w:pPr>
        <w:pStyle w:val="6"/>
        <w:adjustRightInd w:val="0"/>
        <w:snapToGrid w:val="0"/>
        <w:spacing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5.招标文件的约束力</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5.1 投标供应商一旦参加本项目采购活动，即被认为接受了本招标文件的规定和约束。</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6.招标文件的解释</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6.1招标文件由采购人解释。</w:t>
      </w:r>
    </w:p>
    <w:p>
      <w:pPr>
        <w:pStyle w:val="5"/>
        <w:adjustRightInd w:val="0"/>
        <w:snapToGrid w:val="0"/>
        <w:spacing w:before="0" w:after="0" w:line="360" w:lineRule="auto"/>
        <w:ind w:firstLine="482" w:firstLineChars="200"/>
        <w:rPr>
          <w:rFonts w:ascii="宋体" w:hAnsi="宋体" w:cs="宋体"/>
          <w:sz w:val="24"/>
          <w:szCs w:val="24"/>
        </w:rPr>
      </w:pPr>
      <w:bookmarkStart w:id="22" w:name="_Toc513029209"/>
      <w:bookmarkStart w:id="23" w:name="_Toc16938525"/>
      <w:bookmarkStart w:id="24" w:name="_Toc120614215"/>
      <w:bookmarkStart w:id="25" w:name="_Toc20823281"/>
      <w:r>
        <w:rPr>
          <w:rFonts w:hint="eastAsia" w:ascii="宋体" w:hAnsi="宋体" w:cs="宋体"/>
          <w:sz w:val="24"/>
          <w:szCs w:val="24"/>
        </w:rPr>
        <w:t>（二）招标文件</w:t>
      </w:r>
      <w:bookmarkEnd w:id="22"/>
      <w:bookmarkEnd w:id="23"/>
      <w:bookmarkEnd w:id="24"/>
      <w:bookmarkEnd w:id="25"/>
    </w:p>
    <w:p>
      <w:pPr>
        <w:pStyle w:val="6"/>
        <w:adjustRightInd w:val="0"/>
        <w:snapToGrid w:val="0"/>
        <w:spacing w:line="360" w:lineRule="auto"/>
        <w:ind w:firstLine="480" w:firstLineChars="200"/>
        <w:jc w:val="both"/>
        <w:rPr>
          <w:rFonts w:ascii="宋体" w:hAnsi="宋体" w:eastAsia="宋体" w:cs="宋体"/>
          <w:b/>
          <w:bCs/>
          <w:sz w:val="24"/>
          <w:szCs w:val="24"/>
        </w:rPr>
      </w:pPr>
      <w:bookmarkStart w:id="26" w:name="_Toc20823282"/>
      <w:bookmarkStart w:id="27" w:name="_Toc513029210"/>
      <w:bookmarkStart w:id="28" w:name="_Toc16938526"/>
      <w:r>
        <w:rPr>
          <w:rFonts w:hint="eastAsia" w:ascii="宋体" w:hAnsi="宋体" w:eastAsia="宋体" w:cs="宋体"/>
          <w:sz w:val="24"/>
          <w:szCs w:val="24"/>
        </w:rPr>
        <w:t>1.招标文件构成</w:t>
      </w:r>
      <w:bookmarkEnd w:id="26"/>
      <w:bookmarkEnd w:id="27"/>
      <w:bookmarkEnd w:id="28"/>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1.1</w:t>
      </w:r>
      <w:r>
        <w:rPr>
          <w:rFonts w:hint="eastAsia" w:ascii="宋体" w:hAnsi="宋体" w:cs="宋体"/>
          <w:sz w:val="24"/>
        </w:rPr>
        <w:t xml:space="preserve"> 招标文件由以下部分组成：</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（1）投标邀请</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（2）投标须知</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（3）项目需求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（4）开标和评标</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（5）合同主要条款</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（6）投标文件组成</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（7）附件（如有）</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请仔细检查招标文件是否齐全，如有缺漏请立即与采购人或采购代理机构联系解决。</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1.2</w:t>
      </w:r>
      <w:r>
        <w:rPr>
          <w:rFonts w:hint="eastAsia" w:ascii="宋体" w:hAnsi="宋体" w:cs="宋体"/>
          <w:sz w:val="24"/>
        </w:rPr>
        <w:t xml:space="preserve"> 投标供应商应认真阅读招标文件中所有的事项、格式、条款和规范等要求。按招标文件要求和规定编制投标文件，并保证所提供的全部资料的真实性，以使其投标文件对招标文件做出实质性响应，否则其风险由投标供应商自行承担。</w:t>
      </w:r>
    </w:p>
    <w:p>
      <w:pPr>
        <w:pStyle w:val="6"/>
        <w:adjustRightInd w:val="0"/>
        <w:snapToGrid w:val="0"/>
        <w:spacing w:line="360" w:lineRule="auto"/>
        <w:ind w:firstLine="480" w:firstLineChars="200"/>
        <w:jc w:val="both"/>
        <w:rPr>
          <w:rFonts w:ascii="宋体" w:hAnsi="宋体" w:eastAsia="宋体" w:cs="宋体"/>
          <w:b/>
          <w:bCs/>
          <w:sz w:val="24"/>
          <w:szCs w:val="24"/>
        </w:rPr>
      </w:pPr>
      <w:bookmarkStart w:id="29" w:name="_Toc462564070"/>
      <w:bookmarkStart w:id="30" w:name="_Toc16938527"/>
      <w:bookmarkStart w:id="31" w:name="_Toc20823283"/>
      <w:bookmarkStart w:id="32" w:name="_Toc513029211"/>
      <w:r>
        <w:rPr>
          <w:rFonts w:hint="eastAsia" w:ascii="宋体" w:hAnsi="宋体" w:eastAsia="宋体" w:cs="宋体"/>
          <w:sz w:val="24"/>
          <w:szCs w:val="24"/>
        </w:rPr>
        <w:t>2.招标文件的澄清</w:t>
      </w:r>
      <w:bookmarkEnd w:id="29"/>
      <w:bookmarkEnd w:id="30"/>
      <w:bookmarkEnd w:id="31"/>
      <w:bookmarkEnd w:id="32"/>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2.1</w:t>
      </w:r>
      <w:r>
        <w:rPr>
          <w:rFonts w:hint="eastAsia" w:ascii="宋体" w:hAnsi="宋体" w:cs="宋体"/>
          <w:sz w:val="24"/>
        </w:rPr>
        <w:t xml:space="preserve"> 任何要求对招标文件进行澄清的投标供应商，应在投标截止期十日前按招标公告中的通讯地址，以书面形式通知采购人或采购代理机构。采购人有权对发出的招标文件进行必要的澄清或修改。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2.2采购人视情组织答疑会</w:t>
      </w:r>
    </w:p>
    <w:p>
      <w:pPr>
        <w:pStyle w:val="6"/>
        <w:adjustRightInd w:val="0"/>
        <w:snapToGrid w:val="0"/>
        <w:spacing w:line="360" w:lineRule="auto"/>
        <w:ind w:firstLine="480" w:firstLineChars="200"/>
        <w:jc w:val="both"/>
        <w:rPr>
          <w:rFonts w:ascii="宋体" w:hAnsi="宋体" w:eastAsia="宋体" w:cs="宋体"/>
          <w:b/>
          <w:bCs/>
          <w:sz w:val="24"/>
          <w:szCs w:val="24"/>
        </w:rPr>
      </w:pPr>
      <w:bookmarkStart w:id="33" w:name="_Toc513029212"/>
      <w:bookmarkStart w:id="34" w:name="_Toc20823284"/>
      <w:bookmarkStart w:id="35" w:name="_Toc462564071"/>
      <w:bookmarkStart w:id="36" w:name="_Toc16938528"/>
      <w:r>
        <w:rPr>
          <w:rFonts w:hint="eastAsia" w:ascii="宋体" w:hAnsi="宋体" w:eastAsia="宋体" w:cs="宋体"/>
          <w:sz w:val="24"/>
          <w:szCs w:val="24"/>
        </w:rPr>
        <w:t>3.招标文件的修改</w:t>
      </w:r>
      <w:bookmarkEnd w:id="33"/>
      <w:bookmarkEnd w:id="34"/>
      <w:bookmarkEnd w:id="35"/>
      <w:bookmarkEnd w:id="36"/>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3.1</w:t>
      </w:r>
      <w:r>
        <w:rPr>
          <w:rFonts w:hint="eastAsia" w:ascii="宋体" w:hAnsi="宋体" w:cs="宋体"/>
          <w:sz w:val="24"/>
        </w:rPr>
        <w:t xml:space="preserve"> 在投标截止时间前，采购人可以对招标文件进行修改。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3.2 采购人有权按照法定的要求推迟投标截止日期和开标日期。</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3.3 招标文件的修改将在南通港集团建设投资有限公司、</w:t>
      </w:r>
      <w:r>
        <w:rPr>
          <w:rFonts w:hint="eastAsia" w:ascii="宋体" w:hAnsi="宋体" w:cs="宋体"/>
          <w:bCs/>
          <w:kern w:val="0"/>
          <w:sz w:val="24"/>
        </w:rPr>
        <w:t>南通港（港口）集团有限公司、江苏省招标投标公共服务平台</w:t>
      </w:r>
      <w:r>
        <w:rPr>
          <w:rFonts w:hint="eastAsia" w:ascii="宋体" w:hAnsi="宋体" w:cs="宋体"/>
          <w:sz w:val="24"/>
        </w:rPr>
        <w:t>公布，补充文件将作为招标文件的组成部分，并对投标供应商具有约束力。</w:t>
      </w:r>
    </w:p>
    <w:p>
      <w:pPr>
        <w:pStyle w:val="5"/>
        <w:adjustRightInd w:val="0"/>
        <w:snapToGrid w:val="0"/>
        <w:spacing w:before="0" w:after="0" w:line="360" w:lineRule="auto"/>
        <w:ind w:firstLine="482" w:firstLineChars="200"/>
        <w:rPr>
          <w:rFonts w:ascii="宋体" w:hAnsi="宋体" w:cs="宋体"/>
          <w:sz w:val="24"/>
          <w:szCs w:val="24"/>
        </w:rPr>
      </w:pPr>
      <w:bookmarkStart w:id="37" w:name="_Toc16938529"/>
      <w:bookmarkStart w:id="38" w:name="_Toc120614216"/>
      <w:bookmarkStart w:id="39" w:name="_Toc462564072"/>
      <w:bookmarkStart w:id="40" w:name="_Toc513029213"/>
      <w:bookmarkStart w:id="41" w:name="_Toc20823285"/>
      <w:r>
        <w:rPr>
          <w:rFonts w:hint="eastAsia" w:ascii="宋体" w:hAnsi="宋体" w:cs="宋体"/>
          <w:sz w:val="24"/>
          <w:szCs w:val="24"/>
        </w:rPr>
        <w:t>（三）投标文件的编制</w:t>
      </w:r>
      <w:bookmarkEnd w:id="37"/>
      <w:bookmarkEnd w:id="38"/>
      <w:bookmarkEnd w:id="39"/>
      <w:bookmarkEnd w:id="40"/>
      <w:bookmarkEnd w:id="41"/>
    </w:p>
    <w:p>
      <w:pPr>
        <w:pStyle w:val="6"/>
        <w:adjustRightInd w:val="0"/>
        <w:snapToGrid w:val="0"/>
        <w:spacing w:line="360" w:lineRule="auto"/>
        <w:ind w:firstLine="480" w:firstLineChars="200"/>
        <w:jc w:val="both"/>
        <w:rPr>
          <w:rFonts w:ascii="宋体" w:hAnsi="宋体" w:eastAsia="宋体" w:cs="宋体"/>
          <w:bCs/>
          <w:sz w:val="24"/>
          <w:szCs w:val="24"/>
        </w:rPr>
      </w:pPr>
      <w:bookmarkStart w:id="42" w:name="_Toc16938530"/>
      <w:bookmarkStart w:id="43" w:name="_Toc513029214"/>
      <w:bookmarkStart w:id="44" w:name="_Toc462564073"/>
      <w:bookmarkStart w:id="45" w:name="_Toc20823286"/>
      <w:r>
        <w:rPr>
          <w:rFonts w:hint="eastAsia" w:ascii="宋体" w:hAnsi="宋体" w:eastAsia="宋体" w:cs="宋体"/>
          <w:sz w:val="24"/>
          <w:szCs w:val="24"/>
        </w:rPr>
        <w:t>1.投标文件的语言及度量衡单位</w:t>
      </w:r>
      <w:bookmarkEnd w:id="42"/>
      <w:bookmarkEnd w:id="43"/>
      <w:bookmarkEnd w:id="44"/>
      <w:bookmarkEnd w:id="45"/>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1.1</w:t>
      </w:r>
      <w:r>
        <w:rPr>
          <w:rFonts w:hint="eastAsia" w:ascii="宋体" w:hAnsi="宋体" w:cs="宋体"/>
          <w:sz w:val="24"/>
        </w:rPr>
        <w:t xml:space="preserve"> 投标供应商提交的投标文件以及投标供应商与采购人或采购代理机构就有关投标的所有来往通知、函件和文件均应使用</w:t>
      </w:r>
      <w:r>
        <w:rPr>
          <w:rFonts w:hint="eastAsia" w:ascii="宋体" w:hAnsi="宋体" w:cs="宋体"/>
          <w:bCs/>
          <w:sz w:val="24"/>
        </w:rPr>
        <w:t>简体中文</w:t>
      </w:r>
      <w:r>
        <w:rPr>
          <w:rFonts w:hint="eastAsia" w:ascii="宋体" w:hAnsi="宋体" w:cs="宋体"/>
          <w:sz w:val="24"/>
        </w:rPr>
        <w:t>。</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1.2</w:t>
      </w:r>
      <w:r>
        <w:rPr>
          <w:rFonts w:hint="eastAsia" w:ascii="宋体" w:hAnsi="宋体" w:cs="宋体"/>
          <w:sz w:val="24"/>
        </w:rPr>
        <w:t xml:space="preserve"> 除技术性能另有规定外，投标文件所使用的度量衡单位，均须采用国家法定计量单位。</w:t>
      </w:r>
    </w:p>
    <w:p>
      <w:pPr>
        <w:pStyle w:val="6"/>
        <w:adjustRightInd w:val="0"/>
        <w:snapToGrid w:val="0"/>
        <w:spacing w:line="360" w:lineRule="auto"/>
        <w:ind w:firstLine="480" w:firstLineChars="200"/>
        <w:jc w:val="both"/>
        <w:rPr>
          <w:rFonts w:ascii="宋体" w:hAnsi="宋体" w:eastAsia="宋体" w:cs="宋体"/>
          <w:b/>
          <w:bCs/>
          <w:sz w:val="24"/>
          <w:szCs w:val="24"/>
        </w:rPr>
      </w:pPr>
      <w:bookmarkStart w:id="46" w:name="_Toc462564074"/>
      <w:bookmarkStart w:id="47" w:name="_Toc16938531"/>
      <w:bookmarkStart w:id="48" w:name="_Toc20823287"/>
      <w:bookmarkStart w:id="49" w:name="_Toc513029215"/>
      <w:r>
        <w:rPr>
          <w:rFonts w:hint="eastAsia" w:ascii="宋体" w:hAnsi="宋体" w:eastAsia="宋体" w:cs="宋体"/>
          <w:sz w:val="24"/>
          <w:szCs w:val="24"/>
        </w:rPr>
        <w:t>2.投标文件构成</w:t>
      </w:r>
      <w:bookmarkEnd w:id="46"/>
      <w:bookmarkEnd w:id="47"/>
      <w:bookmarkEnd w:id="48"/>
      <w:bookmarkEnd w:id="49"/>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2.1</w:t>
      </w:r>
      <w:r>
        <w:rPr>
          <w:rFonts w:hint="eastAsia" w:ascii="宋体" w:hAnsi="宋体" w:cs="宋体"/>
          <w:sz w:val="24"/>
        </w:rPr>
        <w:t xml:space="preserve"> 投标供应商编写的投标文件应包括资格审查证明材料文件、商务技术标文件、价格标文件。投标供应商按“第六部分 投标文件组成”要求编写投标文件。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2.2投标文件的编写</w:t>
      </w:r>
    </w:p>
    <w:p>
      <w:pPr>
        <w:autoSpaceDE w:val="0"/>
        <w:autoSpaceDN w:val="0"/>
        <w:adjustRightInd w:val="0"/>
        <w:snapToGrid w:val="0"/>
        <w:spacing w:line="360" w:lineRule="auto"/>
        <w:ind w:firstLine="480" w:firstLineChars="200"/>
        <w:contextualSpacing/>
        <w:jc w:val="left"/>
        <w:rPr>
          <w:rFonts w:ascii="宋体" w:hAnsi="宋体" w:cs="仿宋_GB2312"/>
          <w:sz w:val="24"/>
          <w:lang w:val="zh-CN"/>
        </w:rPr>
      </w:pPr>
      <w:r>
        <w:rPr>
          <w:rFonts w:hint="eastAsia" w:ascii="宋体" w:hAnsi="宋体" w:cs="仿宋_GB2312"/>
          <w:sz w:val="24"/>
          <w:lang w:val="zh-CN"/>
        </w:rPr>
        <w:t>（</w:t>
      </w:r>
      <w:r>
        <w:rPr>
          <w:rFonts w:hint="eastAsia" w:ascii="宋体" w:hAnsi="宋体" w:cs="仿宋_GB2312"/>
          <w:sz w:val="24"/>
        </w:rPr>
        <w:t>1</w:t>
      </w:r>
      <w:r>
        <w:rPr>
          <w:rFonts w:hint="eastAsia" w:ascii="宋体" w:hAnsi="宋体" w:cs="仿宋_GB2312"/>
          <w:sz w:val="24"/>
          <w:lang w:val="zh-CN"/>
        </w:rPr>
        <w:t>）投标人按“第</w:t>
      </w:r>
      <w:r>
        <w:rPr>
          <w:rFonts w:hint="eastAsia" w:ascii="宋体" w:hAnsi="宋体" w:cs="仿宋_GB2312"/>
          <w:sz w:val="24"/>
        </w:rPr>
        <w:t>六</w:t>
      </w:r>
      <w:r>
        <w:rPr>
          <w:rFonts w:hint="eastAsia" w:ascii="宋体" w:hAnsi="宋体" w:cs="仿宋_GB2312"/>
          <w:sz w:val="24"/>
          <w:lang w:val="zh-CN"/>
        </w:rPr>
        <w:t xml:space="preserve">部分 </w:t>
      </w:r>
      <w:r>
        <w:rPr>
          <w:rFonts w:hint="eastAsia" w:ascii="宋体" w:hAnsi="宋体" w:cs="仿宋_GB2312"/>
          <w:sz w:val="24"/>
        </w:rPr>
        <w:t>投标</w:t>
      </w:r>
      <w:r>
        <w:rPr>
          <w:rFonts w:hint="eastAsia" w:ascii="宋体" w:hAnsi="宋体" w:cs="仿宋_GB2312"/>
          <w:sz w:val="24"/>
          <w:lang w:val="zh-CN"/>
        </w:rPr>
        <w:t>文件组成”要求编写</w:t>
      </w:r>
      <w:r>
        <w:rPr>
          <w:rFonts w:hint="eastAsia" w:ascii="宋体" w:hAnsi="宋体" w:cs="仿宋_GB2312"/>
          <w:sz w:val="24"/>
        </w:rPr>
        <w:t>投标</w:t>
      </w:r>
      <w:r>
        <w:rPr>
          <w:rFonts w:hint="eastAsia" w:ascii="宋体" w:hAnsi="宋体" w:cs="仿宋_GB2312"/>
          <w:sz w:val="24"/>
          <w:lang w:val="zh-CN"/>
        </w:rPr>
        <w:t>文件。但表格可以按同样格式扩展。除另有规定者外，</w:t>
      </w:r>
      <w:r>
        <w:rPr>
          <w:rFonts w:hint="eastAsia" w:ascii="宋体" w:hAnsi="宋体" w:cs="仿宋_GB2312"/>
          <w:sz w:val="24"/>
        </w:rPr>
        <w:t>投标供应商</w:t>
      </w:r>
      <w:r>
        <w:rPr>
          <w:rFonts w:hint="eastAsia" w:ascii="宋体" w:hAnsi="宋体" w:cs="仿宋_GB2312"/>
          <w:sz w:val="24"/>
          <w:lang w:val="zh-CN"/>
        </w:rPr>
        <w:t>不得修改。</w:t>
      </w:r>
    </w:p>
    <w:p>
      <w:pPr>
        <w:autoSpaceDE w:val="0"/>
        <w:autoSpaceDN w:val="0"/>
        <w:adjustRightInd w:val="0"/>
        <w:snapToGrid w:val="0"/>
        <w:spacing w:line="360" w:lineRule="auto"/>
        <w:ind w:firstLine="480" w:firstLineChars="200"/>
        <w:contextualSpacing/>
        <w:jc w:val="left"/>
        <w:rPr>
          <w:rFonts w:ascii="宋体" w:hAnsi="宋体" w:cs="仿宋_GB2312"/>
          <w:sz w:val="24"/>
          <w:lang w:val="zh-CN"/>
        </w:rPr>
      </w:pP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投标</w:t>
      </w:r>
      <w:r>
        <w:rPr>
          <w:rFonts w:hint="eastAsia" w:ascii="宋体" w:hAnsi="宋体" w:cs="宋体"/>
          <w:sz w:val="24"/>
          <w:lang w:val="zh-CN"/>
        </w:rPr>
        <w:t>文件规格幅面A4纸（图纸、样品等除外）。</w:t>
      </w:r>
    </w:p>
    <w:p>
      <w:pPr>
        <w:autoSpaceDE w:val="0"/>
        <w:autoSpaceDN w:val="0"/>
        <w:adjustRightInd w:val="0"/>
        <w:snapToGrid w:val="0"/>
        <w:spacing w:line="360" w:lineRule="auto"/>
        <w:ind w:firstLine="480" w:firstLineChars="200"/>
        <w:contextualSpacing/>
        <w:jc w:val="left"/>
        <w:rPr>
          <w:rFonts w:ascii="宋体" w:hAnsi="宋体" w:cs="仿宋_GB2312"/>
          <w:sz w:val="24"/>
          <w:lang w:val="zh-CN"/>
        </w:rPr>
      </w:pPr>
      <w:r>
        <w:rPr>
          <w:rFonts w:hint="eastAsia" w:ascii="宋体" w:hAnsi="宋体" w:cs="仿宋_GB2312"/>
          <w:sz w:val="24"/>
          <w:lang w:val="zh-CN"/>
        </w:rPr>
        <w:t>（</w:t>
      </w:r>
      <w:r>
        <w:rPr>
          <w:rFonts w:hint="eastAsia" w:ascii="宋体" w:hAnsi="宋体" w:cs="仿宋_GB2312"/>
          <w:sz w:val="24"/>
        </w:rPr>
        <w:t>3</w:t>
      </w:r>
      <w:r>
        <w:rPr>
          <w:rFonts w:hint="eastAsia" w:ascii="宋体" w:hAnsi="宋体" w:cs="仿宋_GB2312"/>
          <w:sz w:val="24"/>
          <w:lang w:val="zh-CN"/>
        </w:rPr>
        <w:t>）</w:t>
      </w:r>
      <w:r>
        <w:rPr>
          <w:rFonts w:hint="eastAsia" w:ascii="宋体" w:hAnsi="宋体" w:cs="宋体"/>
          <w:sz w:val="24"/>
          <w:lang w:val="zh-CN"/>
        </w:rPr>
        <w:t>按照</w:t>
      </w:r>
      <w:r>
        <w:rPr>
          <w:rFonts w:hint="eastAsia" w:ascii="宋体" w:hAnsi="宋体" w:cs="宋体"/>
          <w:sz w:val="24"/>
        </w:rPr>
        <w:t>招标</w:t>
      </w:r>
      <w:r>
        <w:rPr>
          <w:rFonts w:hint="eastAsia" w:ascii="宋体" w:hAnsi="宋体" w:cs="宋体"/>
          <w:sz w:val="24"/>
          <w:lang w:val="zh-CN"/>
        </w:rPr>
        <w:t>文件所规定的内容顺序，统一编制目录，逐页编码，由于编排混乱导致投标文件被误读或查找不到，其责任应当由投标供应商承担；牢固装订成册，不允许使用活页夹、拉杆夹、文件夹、塑料方便式书脊（插入式或穿孔式）装订。</w:t>
      </w:r>
    </w:p>
    <w:p>
      <w:pPr>
        <w:autoSpaceDE w:val="0"/>
        <w:autoSpaceDN w:val="0"/>
        <w:adjustRightInd w:val="0"/>
        <w:snapToGrid w:val="0"/>
        <w:spacing w:line="360" w:lineRule="auto"/>
        <w:ind w:firstLine="480" w:firstLineChars="200"/>
        <w:contextualSpacing/>
        <w:jc w:val="left"/>
        <w:rPr>
          <w:rFonts w:ascii="宋体" w:hAnsi="宋体" w:cs="仿宋_GB2312"/>
          <w:sz w:val="24"/>
          <w:lang w:val="zh-CN"/>
        </w:rPr>
      </w:pPr>
      <w:r>
        <w:rPr>
          <w:rFonts w:hint="eastAsia" w:ascii="宋体" w:hAnsi="宋体" w:cs="宋体"/>
          <w:sz w:val="24"/>
          <w:lang w:val="zh-CN"/>
        </w:rPr>
        <w:t>（</w:t>
      </w:r>
      <w:r>
        <w:rPr>
          <w:rFonts w:hint="eastAsia" w:ascii="宋体" w:hAnsi="宋体" w:cs="宋体"/>
          <w:sz w:val="24"/>
        </w:rPr>
        <w:t>4</w:t>
      </w:r>
      <w:r>
        <w:rPr>
          <w:rFonts w:hint="eastAsia" w:ascii="宋体" w:hAnsi="宋体" w:cs="宋体"/>
          <w:sz w:val="24"/>
          <w:lang w:val="zh-CN"/>
        </w:rPr>
        <w:t>）</w:t>
      </w:r>
      <w:r>
        <w:rPr>
          <w:rFonts w:hint="eastAsia" w:ascii="宋体" w:hAnsi="宋体" w:cs="宋体"/>
          <w:sz w:val="24"/>
        </w:rPr>
        <w:t>投标</w:t>
      </w:r>
      <w:r>
        <w:rPr>
          <w:rFonts w:hint="eastAsia" w:ascii="宋体" w:hAnsi="宋体" w:cs="仿宋_GB2312"/>
          <w:sz w:val="24"/>
          <w:lang w:val="zh-CN"/>
        </w:rPr>
        <w:t>文件不得行间插字、涂改、增删，如修改错漏处，须经</w:t>
      </w:r>
      <w:r>
        <w:rPr>
          <w:rFonts w:hint="eastAsia" w:ascii="宋体" w:hAnsi="宋体" w:cs="仿宋_GB2312"/>
          <w:sz w:val="24"/>
        </w:rPr>
        <w:t>投标</w:t>
      </w:r>
      <w:r>
        <w:rPr>
          <w:rFonts w:hint="eastAsia" w:ascii="宋体" w:hAnsi="宋体" w:cs="仿宋_GB2312"/>
          <w:sz w:val="24"/>
          <w:lang w:val="zh-CN"/>
        </w:rPr>
        <w:t>文件签署人签字并加盖公章。</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2.3投标文件的份数和签署</w:t>
      </w:r>
    </w:p>
    <w:p>
      <w:pPr>
        <w:autoSpaceDE w:val="0"/>
        <w:autoSpaceDN w:val="0"/>
        <w:adjustRightInd w:val="0"/>
        <w:snapToGrid w:val="0"/>
        <w:spacing w:line="360" w:lineRule="auto"/>
        <w:ind w:firstLine="480" w:firstLineChars="200"/>
        <w:contextualSpacing/>
        <w:jc w:val="left"/>
        <w:rPr>
          <w:rFonts w:ascii="宋体" w:hAnsi="宋体" w:cs="仿宋_GB2312"/>
          <w:sz w:val="24"/>
          <w:lang w:val="zh-CN"/>
        </w:rPr>
      </w:pPr>
      <w:r>
        <w:rPr>
          <w:rFonts w:hint="eastAsia" w:ascii="宋体" w:hAnsi="宋体" w:cs="仿宋_GB2312"/>
          <w:sz w:val="24"/>
          <w:lang w:val="zh-CN"/>
        </w:rPr>
        <w:t>（</w:t>
      </w:r>
      <w:r>
        <w:rPr>
          <w:rFonts w:hint="eastAsia" w:ascii="宋体" w:hAnsi="宋体" w:cs="仿宋_GB2312"/>
          <w:sz w:val="24"/>
        </w:rPr>
        <w:t>1</w:t>
      </w:r>
      <w:r>
        <w:rPr>
          <w:rFonts w:hint="eastAsia" w:ascii="宋体" w:hAnsi="宋体" w:cs="仿宋_GB2312"/>
          <w:sz w:val="24"/>
          <w:lang w:val="zh-CN"/>
        </w:rPr>
        <w:t>）</w:t>
      </w:r>
      <w:r>
        <w:rPr>
          <w:rFonts w:hint="eastAsia" w:ascii="宋体" w:hAnsi="宋体" w:cs="仿宋_GB2312"/>
          <w:sz w:val="24"/>
        </w:rPr>
        <w:t>投标</w:t>
      </w:r>
      <w:r>
        <w:rPr>
          <w:rFonts w:hint="eastAsia" w:ascii="宋体" w:hAnsi="宋体" w:cs="仿宋_GB2312"/>
          <w:sz w:val="24"/>
          <w:lang w:val="zh-CN"/>
        </w:rPr>
        <w:t>文件由：</w:t>
      </w:r>
      <w:r>
        <w:rPr>
          <w:rFonts w:hint="eastAsia" w:ascii="宋体" w:hAnsi="宋体" w:cs="仿宋_GB2312"/>
          <w:sz w:val="24"/>
          <w:lang w:val="zh-CN"/>
        </w:rPr>
        <w:fldChar w:fldCharType="begin"/>
      </w:r>
      <w:r>
        <w:rPr>
          <w:rFonts w:hint="eastAsia" w:ascii="宋体" w:hAnsi="宋体" w:cs="仿宋_GB2312"/>
          <w:sz w:val="24"/>
          <w:lang w:val="zh-CN"/>
        </w:rPr>
        <w:instrText xml:space="preserve"> = 1 \* GB3 </w:instrText>
      </w:r>
      <w:r>
        <w:rPr>
          <w:rFonts w:hint="eastAsia" w:ascii="宋体" w:hAnsi="宋体" w:cs="仿宋_GB2312"/>
          <w:sz w:val="24"/>
          <w:lang w:val="zh-CN"/>
        </w:rPr>
        <w:fldChar w:fldCharType="separate"/>
      </w:r>
      <w:r>
        <w:rPr>
          <w:rFonts w:hint="eastAsia" w:ascii="宋体" w:hAnsi="宋体" w:cs="仿宋_GB2312"/>
          <w:sz w:val="24"/>
          <w:lang w:val="zh-CN"/>
        </w:rPr>
        <w:t>①</w:t>
      </w:r>
      <w:r>
        <w:rPr>
          <w:rFonts w:hint="eastAsia" w:ascii="宋体" w:hAnsi="宋体" w:cs="仿宋_GB2312"/>
          <w:sz w:val="24"/>
          <w:lang w:val="zh-CN"/>
        </w:rPr>
        <w:fldChar w:fldCharType="end"/>
      </w:r>
      <w:r>
        <w:rPr>
          <w:rFonts w:hint="eastAsia" w:ascii="宋体" w:hAnsi="宋体" w:cs="宋体"/>
          <w:sz w:val="24"/>
        </w:rPr>
        <w:t>资格审查证明材料文件、</w:t>
      </w:r>
      <w:r>
        <w:rPr>
          <w:rFonts w:hint="eastAsia" w:ascii="宋体" w:hAnsi="宋体" w:cs="仿宋_GB2312"/>
          <w:sz w:val="24"/>
          <w:lang w:val="zh-CN"/>
        </w:rPr>
        <w:fldChar w:fldCharType="begin"/>
      </w:r>
      <w:r>
        <w:rPr>
          <w:rFonts w:hint="eastAsia" w:ascii="宋体" w:hAnsi="宋体" w:cs="仿宋_GB2312"/>
          <w:sz w:val="24"/>
          <w:lang w:val="zh-CN"/>
        </w:rPr>
        <w:instrText xml:space="preserve"> = 2 \* GB3 </w:instrText>
      </w:r>
      <w:r>
        <w:rPr>
          <w:rFonts w:hint="eastAsia" w:ascii="宋体" w:hAnsi="宋体" w:cs="仿宋_GB2312"/>
          <w:sz w:val="24"/>
          <w:lang w:val="zh-CN"/>
        </w:rPr>
        <w:fldChar w:fldCharType="separate"/>
      </w:r>
      <w:r>
        <w:rPr>
          <w:rFonts w:hint="eastAsia" w:ascii="宋体" w:hAnsi="宋体" w:cs="仿宋_GB2312"/>
          <w:sz w:val="24"/>
          <w:lang w:val="zh-CN"/>
        </w:rPr>
        <w:t>②</w:t>
      </w:r>
      <w:r>
        <w:rPr>
          <w:rFonts w:hint="eastAsia" w:ascii="宋体" w:hAnsi="宋体" w:cs="仿宋_GB2312"/>
          <w:sz w:val="24"/>
          <w:lang w:val="zh-CN"/>
        </w:rPr>
        <w:fldChar w:fldCharType="end"/>
      </w:r>
      <w:r>
        <w:rPr>
          <w:rFonts w:hint="eastAsia" w:ascii="宋体" w:hAnsi="宋体" w:cs="宋体"/>
          <w:sz w:val="24"/>
        </w:rPr>
        <w:t>商务技术标文件</w:t>
      </w:r>
      <w:r>
        <w:rPr>
          <w:rFonts w:hint="eastAsia" w:ascii="宋体" w:hAnsi="宋体" w:cs="仿宋_GB2312"/>
          <w:sz w:val="24"/>
          <w:lang w:val="zh-CN"/>
        </w:rPr>
        <w:t>、③</w:t>
      </w:r>
      <w:r>
        <w:rPr>
          <w:rFonts w:hint="eastAsia" w:ascii="宋体" w:hAnsi="宋体" w:cs="宋体"/>
          <w:sz w:val="24"/>
        </w:rPr>
        <w:t>价格标文件</w:t>
      </w:r>
      <w:r>
        <w:rPr>
          <w:rFonts w:hint="eastAsia" w:ascii="宋体" w:hAnsi="宋体" w:cs="仿宋_GB2312"/>
          <w:sz w:val="24"/>
          <w:lang w:val="zh-CN"/>
        </w:rPr>
        <w:t>共</w:t>
      </w:r>
      <w:r>
        <w:rPr>
          <w:rFonts w:hint="eastAsia" w:ascii="宋体" w:hAnsi="宋体" w:cs="仿宋_GB2312"/>
          <w:sz w:val="24"/>
        </w:rPr>
        <w:t>3</w:t>
      </w:r>
      <w:r>
        <w:rPr>
          <w:rFonts w:hint="eastAsia" w:ascii="宋体" w:hAnsi="宋体" w:cs="仿宋_GB2312"/>
          <w:sz w:val="24"/>
          <w:lang w:val="zh-CN"/>
        </w:rPr>
        <w:t>部分组成（以下由文件序号代称）。</w:t>
      </w:r>
    </w:p>
    <w:p>
      <w:pPr>
        <w:autoSpaceDE w:val="0"/>
        <w:autoSpaceDN w:val="0"/>
        <w:adjustRightInd w:val="0"/>
        <w:snapToGrid w:val="0"/>
        <w:spacing w:line="360" w:lineRule="auto"/>
        <w:ind w:firstLine="480" w:firstLineChars="200"/>
        <w:contextualSpacing/>
        <w:jc w:val="left"/>
        <w:rPr>
          <w:rFonts w:ascii="宋体" w:hAnsi="宋体" w:cs="仿宋_GB2312"/>
          <w:sz w:val="24"/>
          <w:lang w:val="zh-CN"/>
        </w:rPr>
      </w:pPr>
      <w:r>
        <w:rPr>
          <w:rFonts w:hint="eastAsia" w:ascii="宋体" w:hAnsi="宋体" w:cs="仿宋_GB2312"/>
          <w:sz w:val="24"/>
          <w:lang w:val="zh-CN"/>
        </w:rPr>
        <w:t>（</w:t>
      </w:r>
      <w:r>
        <w:rPr>
          <w:rFonts w:hint="eastAsia" w:ascii="宋体" w:hAnsi="宋体" w:cs="仿宋_GB2312"/>
          <w:sz w:val="24"/>
        </w:rPr>
        <w:t>2</w:t>
      </w:r>
      <w:r>
        <w:rPr>
          <w:rFonts w:hint="eastAsia" w:ascii="宋体" w:hAnsi="宋体" w:cs="仿宋_GB2312"/>
          <w:sz w:val="24"/>
          <w:lang w:val="zh-CN"/>
        </w:rPr>
        <w:t>）</w:t>
      </w:r>
      <w:r>
        <w:rPr>
          <w:rFonts w:hint="eastAsia" w:ascii="宋体" w:hAnsi="宋体" w:cs="仿宋_GB2312"/>
          <w:sz w:val="24"/>
        </w:rPr>
        <w:t>投标</w:t>
      </w:r>
      <w:r>
        <w:rPr>
          <w:rFonts w:hint="eastAsia" w:ascii="宋体" w:hAnsi="宋体" w:cs="仿宋_GB2312"/>
          <w:sz w:val="24"/>
          <w:lang w:val="zh-CN"/>
        </w:rPr>
        <w:t>文件均为一式</w:t>
      </w:r>
      <w:r>
        <w:rPr>
          <w:rFonts w:hint="eastAsia" w:ascii="宋体" w:hAnsi="宋体" w:cs="仿宋_GB2312"/>
          <w:sz w:val="24"/>
        </w:rPr>
        <w:t>伍</w:t>
      </w:r>
      <w:r>
        <w:rPr>
          <w:rFonts w:hint="eastAsia" w:ascii="宋体" w:hAnsi="宋体" w:cs="仿宋_GB2312"/>
          <w:sz w:val="24"/>
          <w:lang w:val="zh-CN"/>
        </w:rPr>
        <w:t>份，其中“正本”壹份和“副本”</w:t>
      </w:r>
      <w:r>
        <w:rPr>
          <w:rFonts w:hint="eastAsia" w:ascii="宋体" w:hAnsi="宋体" w:cs="仿宋_GB2312"/>
          <w:sz w:val="24"/>
        </w:rPr>
        <w:t>肆</w:t>
      </w:r>
      <w:r>
        <w:rPr>
          <w:rFonts w:hint="eastAsia" w:ascii="宋体" w:hAnsi="宋体" w:cs="仿宋_GB2312"/>
          <w:sz w:val="24"/>
          <w:lang w:val="zh-CN"/>
        </w:rPr>
        <w:t>份。（具体要求详见第</w:t>
      </w:r>
      <w:r>
        <w:rPr>
          <w:rFonts w:hint="eastAsia" w:ascii="宋体" w:hAnsi="宋体" w:cs="仿宋_GB2312"/>
          <w:sz w:val="24"/>
        </w:rPr>
        <w:t>六</w:t>
      </w:r>
      <w:r>
        <w:rPr>
          <w:rFonts w:hint="eastAsia" w:ascii="宋体" w:hAnsi="宋体" w:cs="仿宋_GB2312"/>
          <w:sz w:val="24"/>
          <w:lang w:val="zh-CN"/>
        </w:rPr>
        <w:t>部分</w:t>
      </w:r>
      <w:r>
        <w:rPr>
          <w:rFonts w:hint="eastAsia" w:ascii="宋体" w:hAnsi="宋体" w:cs="仿宋_GB2312"/>
          <w:sz w:val="24"/>
        </w:rPr>
        <w:t>投标</w:t>
      </w:r>
      <w:r>
        <w:rPr>
          <w:rFonts w:hint="eastAsia" w:ascii="宋体" w:hAnsi="宋体" w:cs="仿宋_GB2312"/>
          <w:sz w:val="24"/>
          <w:lang w:val="zh-CN"/>
        </w:rPr>
        <w:t>文件组成）</w:t>
      </w:r>
    </w:p>
    <w:p>
      <w:pPr>
        <w:autoSpaceDE w:val="0"/>
        <w:autoSpaceDN w:val="0"/>
        <w:adjustRightInd w:val="0"/>
        <w:snapToGrid w:val="0"/>
        <w:spacing w:line="360" w:lineRule="auto"/>
        <w:ind w:firstLine="480" w:firstLineChars="200"/>
        <w:contextualSpacing/>
        <w:jc w:val="left"/>
        <w:rPr>
          <w:rFonts w:ascii="宋体" w:hAnsi="宋体" w:cs="仿宋_GB2312"/>
          <w:sz w:val="24"/>
          <w:lang w:val="zh-CN"/>
        </w:rPr>
      </w:pPr>
      <w:r>
        <w:rPr>
          <w:rFonts w:hint="eastAsia" w:ascii="宋体" w:hAnsi="宋体" w:cs="仿宋_GB2312"/>
          <w:sz w:val="24"/>
          <w:lang w:val="zh-CN"/>
        </w:rPr>
        <w:t>（</w:t>
      </w:r>
      <w:r>
        <w:rPr>
          <w:rFonts w:hint="eastAsia" w:ascii="宋体" w:hAnsi="宋体" w:cs="仿宋_GB2312"/>
          <w:sz w:val="24"/>
        </w:rPr>
        <w:t>3</w:t>
      </w:r>
      <w:r>
        <w:rPr>
          <w:rFonts w:hint="eastAsia" w:ascii="宋体" w:hAnsi="宋体" w:cs="仿宋_GB2312"/>
          <w:sz w:val="24"/>
          <w:lang w:val="zh-CN"/>
        </w:rPr>
        <w:t>）在每份</w:t>
      </w:r>
      <w:r>
        <w:rPr>
          <w:rFonts w:hint="eastAsia" w:ascii="宋体" w:hAnsi="宋体" w:cs="仿宋_GB2312"/>
          <w:sz w:val="24"/>
        </w:rPr>
        <w:t>投标</w:t>
      </w:r>
      <w:r>
        <w:rPr>
          <w:rFonts w:hint="eastAsia" w:ascii="宋体" w:hAnsi="宋体" w:cs="仿宋_GB2312"/>
          <w:sz w:val="24"/>
          <w:lang w:val="zh-CN"/>
        </w:rPr>
        <w:t>文件上要明确标注项目名称、对应的</w:t>
      </w:r>
      <w:r>
        <w:rPr>
          <w:rFonts w:hint="eastAsia" w:ascii="宋体" w:hAnsi="宋体" w:cs="仿宋_GB2312"/>
          <w:sz w:val="24"/>
        </w:rPr>
        <w:t>投标</w:t>
      </w:r>
      <w:r>
        <w:rPr>
          <w:rFonts w:hint="eastAsia" w:ascii="宋体" w:hAnsi="宋体" w:cs="仿宋_GB2312"/>
          <w:sz w:val="24"/>
          <w:lang w:val="zh-CN"/>
        </w:rPr>
        <w:t>文件名称、投标供应商的全称、日期、“正本”、“副本”字样。“正本”和“副本”若有差异，概以“正本”为准。</w:t>
      </w:r>
    </w:p>
    <w:p>
      <w:pPr>
        <w:autoSpaceDE w:val="0"/>
        <w:autoSpaceDN w:val="0"/>
        <w:adjustRightInd w:val="0"/>
        <w:snapToGrid w:val="0"/>
        <w:spacing w:line="360" w:lineRule="auto"/>
        <w:ind w:firstLine="480" w:firstLineChars="200"/>
        <w:contextualSpacing/>
        <w:jc w:val="left"/>
        <w:rPr>
          <w:rFonts w:ascii="宋体" w:hAnsi="宋体" w:cs="仿宋_GB2312"/>
          <w:sz w:val="24"/>
          <w:lang w:val="zh-CN"/>
        </w:rPr>
      </w:pPr>
      <w:r>
        <w:rPr>
          <w:rFonts w:hint="eastAsia" w:ascii="宋体" w:hAnsi="宋体" w:cs="仿宋_GB2312"/>
          <w:sz w:val="24"/>
          <w:lang w:val="zh-CN"/>
        </w:rPr>
        <w:t>（</w:t>
      </w:r>
      <w:r>
        <w:rPr>
          <w:rFonts w:hint="eastAsia" w:ascii="宋体" w:hAnsi="宋体" w:cs="仿宋_GB2312"/>
          <w:sz w:val="24"/>
        </w:rPr>
        <w:t>4</w:t>
      </w:r>
      <w:r>
        <w:rPr>
          <w:rFonts w:hint="eastAsia" w:ascii="宋体" w:hAnsi="宋体" w:cs="仿宋_GB2312"/>
          <w:sz w:val="24"/>
          <w:lang w:val="zh-CN"/>
        </w:rPr>
        <w:t>）</w:t>
      </w:r>
      <w:r>
        <w:rPr>
          <w:rFonts w:hint="eastAsia" w:ascii="宋体" w:hAnsi="宋体" w:cs="仿宋_GB2312"/>
          <w:sz w:val="24"/>
        </w:rPr>
        <w:t>投标</w:t>
      </w:r>
      <w:r>
        <w:rPr>
          <w:rFonts w:hint="eastAsia" w:ascii="宋体" w:hAnsi="宋体" w:cs="仿宋_GB2312"/>
          <w:sz w:val="24"/>
          <w:lang w:val="zh-CN"/>
        </w:rPr>
        <w:t>文件中的所有“正本”，其正文内容须按</w:t>
      </w:r>
      <w:r>
        <w:rPr>
          <w:rFonts w:hint="eastAsia" w:ascii="宋体" w:hAnsi="宋体" w:cs="仿宋_GB2312"/>
          <w:sz w:val="24"/>
        </w:rPr>
        <w:t>招标</w:t>
      </w:r>
      <w:r>
        <w:rPr>
          <w:rFonts w:hint="eastAsia" w:ascii="宋体" w:hAnsi="宋体" w:cs="仿宋_GB2312"/>
          <w:sz w:val="24"/>
          <w:lang w:val="zh-CN"/>
        </w:rPr>
        <w:t>文件要求由投标供应商法定代表人或被授权人签字（或盖章）并加盖单位公章。“副本”可</w:t>
      </w:r>
      <w:r>
        <w:rPr>
          <w:rFonts w:hint="eastAsia" w:ascii="宋体" w:hAnsi="宋体" w:cs="仿宋_GB2312"/>
          <w:sz w:val="24"/>
        </w:rPr>
        <w:t>为</w:t>
      </w:r>
      <w:r>
        <w:rPr>
          <w:rFonts w:hint="eastAsia" w:ascii="宋体" w:hAnsi="宋体" w:cs="仿宋_GB2312"/>
          <w:sz w:val="24"/>
          <w:lang w:val="zh-CN"/>
        </w:rPr>
        <w:t>“</w:t>
      </w:r>
      <w:r>
        <w:rPr>
          <w:rFonts w:hint="eastAsia" w:ascii="宋体" w:hAnsi="宋体" w:cs="仿宋_GB2312"/>
          <w:sz w:val="24"/>
        </w:rPr>
        <w:t>正本</w:t>
      </w:r>
      <w:r>
        <w:rPr>
          <w:rFonts w:hint="eastAsia" w:ascii="宋体" w:hAnsi="宋体" w:cs="仿宋_GB2312"/>
          <w:sz w:val="24"/>
          <w:lang w:val="zh-CN"/>
        </w:rPr>
        <w:t>”的复印</w:t>
      </w:r>
      <w:r>
        <w:rPr>
          <w:rFonts w:hint="eastAsia" w:ascii="宋体" w:hAnsi="宋体" w:cs="仿宋_GB2312"/>
          <w:sz w:val="24"/>
        </w:rPr>
        <w:t>件</w:t>
      </w:r>
      <w:r>
        <w:rPr>
          <w:rFonts w:hint="eastAsia" w:ascii="宋体" w:hAnsi="宋体" w:cs="仿宋_GB2312"/>
          <w:sz w:val="24"/>
          <w:lang w:val="zh-CN"/>
        </w:rPr>
        <w:t>。</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2.4投标文件的密封及标记</w:t>
      </w:r>
    </w:p>
    <w:p>
      <w:pPr>
        <w:autoSpaceDE w:val="0"/>
        <w:autoSpaceDN w:val="0"/>
        <w:adjustRightInd w:val="0"/>
        <w:snapToGrid w:val="0"/>
        <w:spacing w:line="360" w:lineRule="auto"/>
        <w:ind w:firstLine="480" w:firstLineChars="200"/>
        <w:jc w:val="left"/>
        <w:rPr>
          <w:rFonts w:ascii="宋体" w:hAnsi="宋体" w:cs="仿宋_GB2312"/>
          <w:b/>
          <w:bCs/>
          <w:sz w:val="24"/>
          <w:u w:val="double"/>
          <w:lang w:val="zh-CN"/>
        </w:rPr>
      </w:pPr>
      <w:r>
        <w:rPr>
          <w:rFonts w:hint="eastAsia" w:ascii="宋体" w:hAnsi="宋体" w:cs="仿宋_GB2312"/>
          <w:sz w:val="24"/>
          <w:lang w:val="zh-CN"/>
        </w:rPr>
        <w:t>（</w:t>
      </w:r>
      <w:r>
        <w:rPr>
          <w:rFonts w:hint="eastAsia" w:ascii="宋体" w:hAnsi="宋体" w:cs="仿宋_GB2312"/>
          <w:sz w:val="24"/>
        </w:rPr>
        <w:t>1</w:t>
      </w:r>
      <w:r>
        <w:rPr>
          <w:rFonts w:hint="eastAsia" w:ascii="宋体" w:hAnsi="宋体" w:cs="仿宋_GB2312"/>
          <w:sz w:val="24"/>
          <w:lang w:val="zh-CN"/>
        </w:rPr>
        <w:t>）投标供应商须将本项目</w:t>
      </w:r>
      <w:r>
        <w:rPr>
          <w:rFonts w:hint="eastAsia" w:ascii="宋体" w:hAnsi="宋体" w:cs="仿宋_GB2312"/>
          <w:sz w:val="24"/>
        </w:rPr>
        <w:t>投标</w:t>
      </w:r>
      <w:r>
        <w:rPr>
          <w:rFonts w:hint="eastAsia" w:ascii="宋体" w:hAnsi="宋体" w:cs="仿宋_GB2312"/>
          <w:sz w:val="24"/>
          <w:lang w:val="zh-CN"/>
        </w:rPr>
        <w:t>文件：</w:t>
      </w:r>
      <w:r>
        <w:rPr>
          <w:rFonts w:hint="eastAsia" w:ascii="宋体" w:hAnsi="宋体" w:cs="仿宋_GB2312"/>
          <w:b/>
          <w:bCs/>
          <w:sz w:val="24"/>
          <w:u w:val="double"/>
          <w:lang w:val="zh-CN"/>
        </w:rPr>
        <w:fldChar w:fldCharType="begin"/>
      </w:r>
      <w:r>
        <w:rPr>
          <w:rFonts w:hint="eastAsia" w:ascii="宋体" w:hAnsi="宋体" w:cs="仿宋_GB2312"/>
          <w:b/>
          <w:bCs/>
          <w:sz w:val="24"/>
          <w:u w:val="double"/>
          <w:lang w:val="zh-CN"/>
        </w:rPr>
        <w:instrText xml:space="preserve"> = 1 \* GB3 </w:instrText>
      </w:r>
      <w:r>
        <w:rPr>
          <w:rFonts w:hint="eastAsia" w:ascii="宋体" w:hAnsi="宋体" w:cs="仿宋_GB2312"/>
          <w:b/>
          <w:bCs/>
          <w:sz w:val="24"/>
          <w:u w:val="double"/>
          <w:lang w:val="zh-CN"/>
        </w:rPr>
        <w:fldChar w:fldCharType="separate"/>
      </w:r>
      <w:r>
        <w:rPr>
          <w:rFonts w:hint="eastAsia" w:ascii="宋体" w:hAnsi="宋体" w:cs="仿宋_GB2312"/>
          <w:b/>
          <w:bCs/>
          <w:sz w:val="24"/>
          <w:u w:val="double"/>
          <w:lang w:val="zh-CN"/>
        </w:rPr>
        <w:t>①</w:t>
      </w:r>
      <w:r>
        <w:rPr>
          <w:rFonts w:hint="eastAsia" w:ascii="宋体" w:hAnsi="宋体" w:cs="仿宋_GB2312"/>
          <w:b/>
          <w:bCs/>
          <w:sz w:val="24"/>
          <w:u w:val="double"/>
          <w:lang w:val="zh-CN"/>
        </w:rPr>
        <w:fldChar w:fldCharType="end"/>
      </w:r>
      <w:r>
        <w:rPr>
          <w:rFonts w:hint="eastAsia" w:ascii="宋体" w:hAnsi="宋体" w:cs="仿宋_GB2312"/>
          <w:b/>
          <w:bCs/>
          <w:sz w:val="24"/>
          <w:u w:val="double"/>
          <w:lang w:val="zh-CN"/>
        </w:rPr>
        <w:t>、</w:t>
      </w:r>
      <w:r>
        <w:rPr>
          <w:rFonts w:hint="eastAsia" w:ascii="宋体" w:hAnsi="宋体" w:cs="仿宋_GB2312"/>
          <w:b/>
          <w:bCs/>
          <w:sz w:val="24"/>
          <w:u w:val="double"/>
          <w:lang w:val="zh-CN"/>
        </w:rPr>
        <w:fldChar w:fldCharType="begin"/>
      </w:r>
      <w:r>
        <w:rPr>
          <w:rFonts w:hint="eastAsia" w:ascii="宋体" w:hAnsi="宋体" w:cs="仿宋_GB2312"/>
          <w:b/>
          <w:bCs/>
          <w:sz w:val="24"/>
          <w:u w:val="double"/>
          <w:lang w:val="zh-CN"/>
        </w:rPr>
        <w:instrText xml:space="preserve"> = 2 \* GB3 </w:instrText>
      </w:r>
      <w:r>
        <w:rPr>
          <w:rFonts w:hint="eastAsia" w:ascii="宋体" w:hAnsi="宋体" w:cs="仿宋_GB2312"/>
          <w:b/>
          <w:bCs/>
          <w:sz w:val="24"/>
          <w:u w:val="double"/>
          <w:lang w:val="zh-CN"/>
        </w:rPr>
        <w:fldChar w:fldCharType="separate"/>
      </w:r>
      <w:r>
        <w:rPr>
          <w:rFonts w:hint="eastAsia" w:ascii="宋体" w:hAnsi="宋体" w:cs="仿宋_GB2312"/>
          <w:b/>
          <w:bCs/>
          <w:sz w:val="24"/>
          <w:u w:val="double"/>
          <w:lang w:val="zh-CN"/>
        </w:rPr>
        <w:t>②</w:t>
      </w:r>
      <w:r>
        <w:rPr>
          <w:rFonts w:hint="eastAsia" w:ascii="宋体" w:hAnsi="宋体" w:cs="仿宋_GB2312"/>
          <w:b/>
          <w:bCs/>
          <w:sz w:val="24"/>
          <w:u w:val="double"/>
          <w:lang w:val="zh-CN"/>
        </w:rPr>
        <w:fldChar w:fldCharType="end"/>
      </w:r>
      <w:r>
        <w:rPr>
          <w:rFonts w:hint="eastAsia" w:ascii="宋体" w:hAnsi="宋体" w:cs="仿宋_GB2312"/>
          <w:b/>
          <w:bCs/>
          <w:sz w:val="24"/>
          <w:u w:val="double"/>
          <w:lang w:val="zh-CN"/>
        </w:rPr>
        <w:t>、③单独密封。</w:t>
      </w:r>
    </w:p>
    <w:p>
      <w:pPr>
        <w:autoSpaceDE w:val="0"/>
        <w:autoSpaceDN w:val="0"/>
        <w:adjustRightInd w:val="0"/>
        <w:snapToGrid w:val="0"/>
        <w:spacing w:line="360" w:lineRule="auto"/>
        <w:ind w:firstLine="480" w:firstLineChars="200"/>
        <w:jc w:val="left"/>
        <w:rPr>
          <w:rFonts w:ascii="宋体" w:hAnsi="宋体" w:cs="仿宋_GB2312"/>
          <w:sz w:val="24"/>
          <w:lang w:val="zh-CN"/>
        </w:rPr>
      </w:pPr>
      <w:r>
        <w:rPr>
          <w:rFonts w:hint="eastAsia" w:ascii="宋体" w:hAnsi="宋体" w:cs="仿宋_GB2312"/>
          <w:sz w:val="24"/>
          <w:lang w:val="zh-CN"/>
        </w:rPr>
        <w:t>（</w:t>
      </w:r>
      <w:r>
        <w:rPr>
          <w:rFonts w:hint="eastAsia" w:ascii="宋体" w:hAnsi="宋体" w:cs="仿宋_GB2312"/>
          <w:sz w:val="24"/>
        </w:rPr>
        <w:t>2</w:t>
      </w:r>
      <w:r>
        <w:rPr>
          <w:rFonts w:hint="eastAsia" w:ascii="宋体" w:hAnsi="宋体" w:cs="仿宋_GB2312"/>
          <w:sz w:val="24"/>
          <w:lang w:val="zh-CN"/>
        </w:rPr>
        <w:t>）</w:t>
      </w:r>
      <w:r>
        <w:rPr>
          <w:rFonts w:hint="eastAsia" w:ascii="宋体" w:hAnsi="宋体" w:cs="宋体"/>
          <w:sz w:val="24"/>
        </w:rPr>
        <w:t>投标供应商可将每部分投标文件</w:t>
      </w:r>
      <w:r>
        <w:rPr>
          <w:rFonts w:hint="eastAsia" w:ascii="宋体" w:hAnsi="宋体" w:cs="仿宋_GB2312"/>
          <w:sz w:val="24"/>
          <w:lang w:val="zh-CN"/>
        </w:rPr>
        <w:t>正副本统一密封或分别密封，如正本和副本分别密封的，应在封袋或封箱上标明正、副本字样。</w:t>
      </w:r>
    </w:p>
    <w:p>
      <w:pPr>
        <w:autoSpaceDE w:val="0"/>
        <w:autoSpaceDN w:val="0"/>
        <w:adjustRightInd w:val="0"/>
        <w:snapToGrid w:val="0"/>
        <w:spacing w:line="360" w:lineRule="auto"/>
        <w:ind w:firstLine="480" w:firstLineChars="200"/>
        <w:jc w:val="left"/>
        <w:rPr>
          <w:rFonts w:ascii="宋体" w:hAnsi="宋体" w:cs="仿宋_GB2312"/>
          <w:b/>
          <w:bCs/>
          <w:sz w:val="24"/>
          <w:u w:val="double"/>
          <w:lang w:val="zh-CN"/>
        </w:rPr>
      </w:pPr>
      <w:r>
        <w:rPr>
          <w:rFonts w:hint="eastAsia" w:ascii="宋体" w:hAnsi="宋体" w:cs="仿宋_GB2312"/>
          <w:sz w:val="24"/>
          <w:lang w:val="zh-CN"/>
        </w:rPr>
        <w:t>（</w:t>
      </w:r>
      <w:r>
        <w:rPr>
          <w:rFonts w:hint="eastAsia" w:ascii="宋体" w:hAnsi="宋体" w:cs="仿宋_GB2312"/>
          <w:sz w:val="24"/>
        </w:rPr>
        <w:t>3</w:t>
      </w:r>
      <w:r>
        <w:rPr>
          <w:rFonts w:hint="eastAsia" w:ascii="宋体" w:hAnsi="宋体" w:cs="仿宋_GB2312"/>
          <w:sz w:val="24"/>
          <w:lang w:val="zh-CN"/>
        </w:rPr>
        <w:t>）密封后，应在封袋或封箱上明确标注</w:t>
      </w:r>
      <w:r>
        <w:rPr>
          <w:rFonts w:hint="eastAsia" w:ascii="宋体" w:hAnsi="宋体" w:cs="仿宋_GB2312"/>
          <w:b/>
          <w:bCs/>
          <w:sz w:val="24"/>
          <w:u w:val="double"/>
        </w:rPr>
        <w:t>采购</w:t>
      </w:r>
      <w:r>
        <w:rPr>
          <w:rFonts w:hint="eastAsia" w:ascii="宋体" w:hAnsi="宋体" w:cs="仿宋_GB2312"/>
          <w:b/>
          <w:bCs/>
          <w:sz w:val="24"/>
          <w:u w:val="double"/>
          <w:lang w:val="zh-CN"/>
        </w:rPr>
        <w:t>项目名称、</w:t>
      </w:r>
      <w:r>
        <w:rPr>
          <w:rFonts w:hint="eastAsia" w:ascii="宋体" w:hAnsi="宋体" w:cs="仿宋_GB2312"/>
          <w:b/>
          <w:bCs/>
          <w:sz w:val="24"/>
          <w:u w:val="double"/>
        </w:rPr>
        <w:t>投标</w:t>
      </w:r>
      <w:r>
        <w:rPr>
          <w:rFonts w:hint="eastAsia" w:ascii="宋体" w:hAnsi="宋体" w:cs="仿宋_GB2312"/>
          <w:b/>
          <w:bCs/>
          <w:sz w:val="24"/>
          <w:u w:val="double"/>
          <w:lang w:val="zh-CN"/>
        </w:rPr>
        <w:t>文件各自对应的名称、投标供应商的全称及日期</w:t>
      </w:r>
      <w:r>
        <w:rPr>
          <w:rFonts w:hint="eastAsia" w:ascii="宋体" w:hAnsi="宋体" w:cs="仿宋_GB2312"/>
          <w:b/>
          <w:bCs/>
          <w:sz w:val="24"/>
          <w:u w:val="double"/>
        </w:rPr>
        <w:t>并加盖投标供应商单位公章</w:t>
      </w:r>
      <w:r>
        <w:rPr>
          <w:rFonts w:hint="eastAsia" w:ascii="宋体" w:hAnsi="宋体" w:cs="仿宋_GB2312"/>
          <w:b/>
          <w:bCs/>
          <w:sz w:val="24"/>
          <w:u w:val="double"/>
          <w:lang w:val="zh-CN"/>
        </w:rPr>
        <w:t>。</w:t>
      </w:r>
    </w:p>
    <w:p>
      <w:pPr>
        <w:autoSpaceDE w:val="0"/>
        <w:autoSpaceDN w:val="0"/>
        <w:adjustRightInd w:val="0"/>
        <w:snapToGrid w:val="0"/>
        <w:spacing w:line="360" w:lineRule="auto"/>
        <w:ind w:firstLine="480" w:firstLineChars="200"/>
        <w:rPr>
          <w:rFonts w:ascii="宋体" w:hAnsi="宋体" w:cs="宋体"/>
          <w:sz w:val="24"/>
          <w:lang w:val="zh-CN"/>
        </w:rPr>
      </w:pPr>
      <w:r>
        <w:rPr>
          <w:rFonts w:hint="eastAsia" w:ascii="宋体" w:hAnsi="宋体" w:cs="宋体"/>
          <w:sz w:val="24"/>
          <w:lang w:val="zh-CN"/>
        </w:rPr>
        <w:t>（4）采购人将拒绝接收未按照招标文件要求密封及标记的投标文件。</w:t>
      </w:r>
    </w:p>
    <w:p>
      <w:pPr>
        <w:autoSpaceDE w:val="0"/>
        <w:autoSpaceDN w:val="0"/>
        <w:adjustRightInd w:val="0"/>
        <w:snapToGrid w:val="0"/>
        <w:spacing w:line="360" w:lineRule="auto"/>
        <w:ind w:firstLine="480" w:firstLineChars="200"/>
        <w:rPr>
          <w:rFonts w:ascii="宋体" w:hAnsi="宋体" w:cs="宋体"/>
          <w:sz w:val="24"/>
          <w:lang w:val="zh-CN"/>
        </w:rPr>
      </w:pPr>
      <w:r>
        <w:rPr>
          <w:rFonts w:hint="eastAsia" w:ascii="宋体" w:hAnsi="宋体" w:cs="宋体"/>
          <w:sz w:val="24"/>
          <w:lang w:val="zh-CN"/>
        </w:rPr>
        <w:t>【特别提醒】投标文件中的</w:t>
      </w:r>
      <w:r>
        <w:rPr>
          <w:rFonts w:hint="eastAsia" w:ascii="宋体" w:hAnsi="宋体" w:cs="宋体"/>
          <w:sz w:val="24"/>
          <w:lang w:val="zh-CN"/>
        </w:rPr>
        <w:fldChar w:fldCharType="begin"/>
      </w:r>
      <w:r>
        <w:rPr>
          <w:rFonts w:hint="eastAsia" w:ascii="宋体" w:hAnsi="宋体" w:cs="宋体"/>
          <w:sz w:val="24"/>
          <w:lang w:val="zh-CN"/>
        </w:rPr>
        <w:instrText xml:space="preserve"> = 1 \* GB3 </w:instrText>
      </w:r>
      <w:r>
        <w:rPr>
          <w:rFonts w:hint="eastAsia" w:ascii="宋体" w:hAnsi="宋体" w:cs="宋体"/>
          <w:sz w:val="24"/>
          <w:lang w:val="zh-CN"/>
        </w:rPr>
        <w:fldChar w:fldCharType="separate"/>
      </w:r>
      <w:r>
        <w:rPr>
          <w:rFonts w:hint="eastAsia" w:ascii="宋体" w:hAnsi="宋体" w:cs="宋体"/>
          <w:sz w:val="24"/>
          <w:lang w:val="zh-CN"/>
        </w:rPr>
        <w:t>①</w:t>
      </w:r>
      <w:r>
        <w:rPr>
          <w:rFonts w:hint="eastAsia" w:ascii="宋体" w:hAnsi="宋体" w:cs="宋体"/>
          <w:sz w:val="24"/>
          <w:lang w:val="zh-CN"/>
        </w:rPr>
        <w:fldChar w:fldCharType="end"/>
      </w:r>
      <w:r>
        <w:rPr>
          <w:rFonts w:hint="eastAsia" w:ascii="宋体" w:hAnsi="宋体" w:cs="宋体"/>
          <w:sz w:val="24"/>
          <w:lang w:val="zh-CN"/>
        </w:rPr>
        <w:t>、</w:t>
      </w:r>
      <w:r>
        <w:rPr>
          <w:rFonts w:hint="eastAsia" w:ascii="宋体" w:hAnsi="宋体" w:cs="宋体"/>
          <w:sz w:val="24"/>
          <w:lang w:val="zh-CN"/>
        </w:rPr>
        <w:fldChar w:fldCharType="begin"/>
      </w:r>
      <w:r>
        <w:rPr>
          <w:rFonts w:hint="eastAsia" w:ascii="宋体" w:hAnsi="宋体" w:cs="宋体"/>
          <w:sz w:val="24"/>
          <w:lang w:val="zh-CN"/>
        </w:rPr>
        <w:instrText xml:space="preserve"> = 2 \* GB3 </w:instrText>
      </w:r>
      <w:r>
        <w:rPr>
          <w:rFonts w:hint="eastAsia" w:ascii="宋体" w:hAnsi="宋体" w:cs="宋体"/>
          <w:sz w:val="24"/>
          <w:lang w:val="zh-CN"/>
        </w:rPr>
        <w:fldChar w:fldCharType="separate"/>
      </w:r>
      <w:r>
        <w:rPr>
          <w:rFonts w:hint="eastAsia" w:ascii="宋体" w:hAnsi="宋体" w:cs="宋体"/>
          <w:sz w:val="24"/>
          <w:lang w:val="zh-CN"/>
        </w:rPr>
        <w:t>②</w:t>
      </w:r>
      <w:r>
        <w:rPr>
          <w:rFonts w:hint="eastAsia" w:ascii="宋体" w:hAnsi="宋体" w:cs="宋体"/>
          <w:sz w:val="24"/>
          <w:lang w:val="zh-CN"/>
        </w:rPr>
        <w:fldChar w:fldCharType="end"/>
      </w:r>
      <w:r>
        <w:rPr>
          <w:rFonts w:hint="eastAsia" w:ascii="宋体" w:hAnsi="宋体" w:cs="宋体"/>
          <w:sz w:val="24"/>
          <w:lang w:val="zh-CN"/>
        </w:rPr>
        <w:t>的“正本”或“副本”中，均不得含有投标报价内容，否则作无效标处理。</w:t>
      </w:r>
    </w:p>
    <w:p>
      <w:pPr>
        <w:autoSpaceDE w:val="0"/>
        <w:autoSpaceDN w:val="0"/>
        <w:adjustRightInd w:val="0"/>
        <w:snapToGrid w:val="0"/>
        <w:spacing w:line="360" w:lineRule="auto"/>
        <w:ind w:firstLine="480" w:firstLineChars="200"/>
        <w:rPr>
          <w:rFonts w:ascii="宋体" w:hAnsi="宋体" w:cs="宋体"/>
          <w:sz w:val="24"/>
          <w:lang w:val="zh-CN"/>
        </w:rPr>
      </w:pPr>
      <w:bookmarkStart w:id="50" w:name="_Hlt26954838"/>
      <w:bookmarkEnd w:id="50"/>
      <w:bookmarkStart w:id="51" w:name="_Hlt26670360"/>
      <w:bookmarkEnd w:id="51"/>
      <w:bookmarkStart w:id="52" w:name="_Hlt26668975"/>
      <w:bookmarkEnd w:id="52"/>
      <w:bookmarkStart w:id="53" w:name="_Toc14577360"/>
      <w:bookmarkStart w:id="54" w:name="_Toc49090511"/>
      <w:r>
        <w:rPr>
          <w:rFonts w:hint="eastAsia" w:ascii="宋体" w:hAnsi="宋体" w:cs="宋体"/>
          <w:sz w:val="24"/>
          <w:lang w:val="zh-CN"/>
        </w:rPr>
        <w:t>3.投标有效期</w:t>
      </w:r>
      <w:bookmarkEnd w:id="53"/>
      <w:bookmarkEnd w:id="54"/>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3.1投标有效期为采购人规定的开标之日后</w:t>
      </w:r>
      <w:r>
        <w:rPr>
          <w:rFonts w:hint="eastAsia" w:ascii="宋体" w:hAnsi="宋体" w:cs="宋体"/>
          <w:b/>
          <w:sz w:val="24"/>
          <w:u w:val="single"/>
        </w:rPr>
        <w:t>六十（6</w:t>
      </w:r>
      <w:r>
        <w:rPr>
          <w:rFonts w:ascii="宋体" w:hAnsi="宋体" w:cs="宋体"/>
          <w:b/>
          <w:sz w:val="24"/>
          <w:u w:val="single"/>
        </w:rPr>
        <w:t>0</w:t>
      </w:r>
      <w:r>
        <w:rPr>
          <w:rFonts w:hint="eastAsia" w:ascii="宋体" w:hAnsi="宋体" w:cs="宋体"/>
          <w:b/>
          <w:sz w:val="24"/>
          <w:u w:val="single"/>
        </w:rPr>
        <w:t>）天</w:t>
      </w:r>
      <w:r>
        <w:rPr>
          <w:rFonts w:hint="eastAsia" w:ascii="宋体" w:hAnsi="宋体" w:cs="宋体"/>
          <w:bCs/>
          <w:sz w:val="24"/>
        </w:rPr>
        <w:t>。投标有效期比规定短的将被视为非响应性投标而予以拒绝。</w:t>
      </w:r>
    </w:p>
    <w:p>
      <w:pPr>
        <w:pStyle w:val="6"/>
        <w:adjustRightInd w:val="0"/>
        <w:snapToGrid w:val="0"/>
        <w:spacing w:line="360" w:lineRule="auto"/>
        <w:ind w:firstLine="480" w:firstLineChars="200"/>
        <w:jc w:val="both"/>
        <w:rPr>
          <w:rFonts w:ascii="宋体" w:hAnsi="宋体" w:eastAsia="宋体" w:cs="宋体"/>
          <w:b/>
          <w:bCs/>
          <w:sz w:val="24"/>
          <w:szCs w:val="24"/>
        </w:rPr>
      </w:pPr>
      <w:r>
        <w:rPr>
          <w:rFonts w:hint="eastAsia" w:ascii="宋体" w:hAnsi="宋体" w:eastAsia="宋体" w:cs="宋体"/>
          <w:sz w:val="24"/>
          <w:szCs w:val="24"/>
        </w:rPr>
        <w:t>4.投标有效期的延长</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4.1在特殊情况下，采购人于原投标有效期满之前，可向投标供应商提出延长投标有效期的要求。这种要求与答复均应采用书面形式。投标供应商可以拒绝采购人的这一要求而放弃投标，同意延长投标有效期的投标供应商既不能要求也不允许修改其投标文件。</w:t>
      </w:r>
      <w:r>
        <w:rPr>
          <w:rFonts w:hint="eastAsia" w:ascii="宋体" w:hAnsi="宋体" w:cs="宋体"/>
          <w:sz w:val="24"/>
        </w:rPr>
        <w:t>受投标有效期约束的所有权利与义务均延长至新的有效期</w:t>
      </w:r>
      <w:r>
        <w:rPr>
          <w:rFonts w:hint="eastAsia" w:ascii="宋体" w:hAnsi="宋体" w:cs="宋体"/>
          <w:bCs/>
          <w:sz w:val="24"/>
        </w:rPr>
        <w:t>。</w:t>
      </w:r>
    </w:p>
    <w:p>
      <w:pPr>
        <w:pStyle w:val="5"/>
        <w:adjustRightInd w:val="0"/>
        <w:snapToGrid w:val="0"/>
        <w:spacing w:before="0" w:after="0" w:line="360" w:lineRule="auto"/>
        <w:ind w:firstLine="482" w:firstLineChars="200"/>
        <w:rPr>
          <w:rFonts w:ascii="宋体" w:hAnsi="宋体" w:cs="宋体"/>
          <w:sz w:val="24"/>
          <w:szCs w:val="24"/>
        </w:rPr>
      </w:pPr>
      <w:bookmarkStart w:id="55" w:name="_Hlt26954739"/>
      <w:bookmarkEnd w:id="55"/>
      <w:bookmarkStart w:id="56" w:name="_Hlt26954852"/>
      <w:bookmarkEnd w:id="56"/>
      <w:bookmarkStart w:id="57" w:name="_Toc120614217"/>
      <w:bookmarkStart w:id="58" w:name="_Toc513029224"/>
      <w:bookmarkStart w:id="59" w:name="_Toc16938540"/>
      <w:bookmarkStart w:id="60" w:name="_Toc20823296"/>
      <w:r>
        <w:rPr>
          <w:rFonts w:hint="eastAsia" w:ascii="宋体" w:hAnsi="宋体" w:cs="宋体"/>
          <w:sz w:val="24"/>
          <w:szCs w:val="24"/>
        </w:rPr>
        <w:t>（四）投标文件的递交</w:t>
      </w:r>
      <w:bookmarkEnd w:id="57"/>
      <w:bookmarkEnd w:id="58"/>
      <w:bookmarkEnd w:id="59"/>
      <w:bookmarkEnd w:id="60"/>
    </w:p>
    <w:p>
      <w:pPr>
        <w:pStyle w:val="6"/>
        <w:adjustRightInd w:val="0"/>
        <w:snapToGrid w:val="0"/>
        <w:spacing w:line="360" w:lineRule="auto"/>
        <w:ind w:firstLine="480" w:firstLineChars="200"/>
        <w:jc w:val="both"/>
        <w:rPr>
          <w:rFonts w:ascii="宋体" w:hAnsi="宋体" w:eastAsia="宋体" w:cs="宋体"/>
          <w:b/>
          <w:bCs/>
          <w:sz w:val="24"/>
          <w:szCs w:val="24"/>
        </w:rPr>
      </w:pPr>
      <w:bookmarkStart w:id="61" w:name="_Toc16938541"/>
      <w:bookmarkStart w:id="62" w:name="_Toc513029225"/>
      <w:bookmarkStart w:id="63" w:name="_Toc462564084"/>
      <w:bookmarkStart w:id="64" w:name="_Toc20823297"/>
      <w:r>
        <w:rPr>
          <w:rFonts w:hint="eastAsia" w:ascii="宋体" w:hAnsi="宋体" w:eastAsia="宋体" w:cs="宋体"/>
          <w:sz w:val="24"/>
          <w:szCs w:val="24"/>
        </w:rPr>
        <w:t>1.投标文件</w:t>
      </w:r>
      <w:bookmarkEnd w:id="61"/>
      <w:bookmarkEnd w:id="62"/>
      <w:bookmarkEnd w:id="63"/>
      <w:bookmarkEnd w:id="64"/>
      <w:r>
        <w:rPr>
          <w:rFonts w:hint="eastAsia" w:ascii="宋体" w:hAnsi="宋体" w:eastAsia="宋体" w:cs="宋体"/>
          <w:sz w:val="24"/>
          <w:szCs w:val="24"/>
        </w:rPr>
        <w:t>的递交</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1.1</w:t>
      </w:r>
      <w:bookmarkStart w:id="65" w:name="_Toc20823298"/>
      <w:bookmarkStart w:id="66" w:name="_Toc16938542"/>
      <w:bookmarkStart w:id="67" w:name="_Toc513029226"/>
      <w:r>
        <w:rPr>
          <w:rFonts w:hint="eastAsia" w:ascii="宋体" w:hAnsi="宋体" w:cs="宋体"/>
          <w:bCs/>
          <w:sz w:val="24"/>
        </w:rPr>
        <w:t>投标供应商应当在投标文件提交截止时间前制作并提交其投标文件。</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2.投标截止日期</w:t>
      </w:r>
      <w:bookmarkEnd w:id="65"/>
      <w:bookmarkEnd w:id="66"/>
      <w:bookmarkEnd w:id="67"/>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2.1 投标供应商递交投标文件的时间不得迟于投标邀请中规定的投标截止时间。</w:t>
      </w:r>
    </w:p>
    <w:p>
      <w:pPr>
        <w:adjustRightInd w:val="0"/>
        <w:snapToGrid w:val="0"/>
        <w:spacing w:line="360" w:lineRule="auto"/>
        <w:ind w:firstLine="480" w:firstLineChars="200"/>
        <w:rPr>
          <w:rFonts w:ascii="宋体" w:hAnsi="宋体" w:cs="宋体"/>
          <w:bCs/>
          <w:sz w:val="24"/>
        </w:rPr>
      </w:pPr>
      <w:r>
        <w:rPr>
          <w:rFonts w:hint="eastAsia" w:ascii="宋体" w:hAnsi="宋体" w:cs="宋体"/>
          <w:sz w:val="24"/>
        </w:rPr>
        <w:t>2.2</w:t>
      </w:r>
      <w:r>
        <w:rPr>
          <w:rFonts w:hint="eastAsia" w:ascii="宋体" w:hAnsi="宋体" w:cs="宋体"/>
          <w:bCs/>
          <w:sz w:val="24"/>
        </w:rPr>
        <w:t xml:space="preserve"> 采购人可以按照规定，通过修改招标文件酌情延长投标截止日期，在此情况下，投标供应商的所有权利和义务以及投标供应商受制的截止日期均应以延长后新的截止日期为准。</w:t>
      </w:r>
    </w:p>
    <w:p>
      <w:pPr>
        <w:pStyle w:val="6"/>
        <w:adjustRightInd w:val="0"/>
        <w:snapToGrid w:val="0"/>
        <w:spacing w:line="360" w:lineRule="auto"/>
        <w:ind w:firstLine="480" w:firstLineChars="200"/>
        <w:jc w:val="both"/>
        <w:rPr>
          <w:rFonts w:ascii="宋体" w:hAnsi="宋体" w:eastAsia="宋体" w:cs="宋体"/>
          <w:b/>
          <w:bCs/>
          <w:sz w:val="24"/>
          <w:szCs w:val="24"/>
        </w:rPr>
      </w:pPr>
      <w:bookmarkStart w:id="68" w:name="_Toc20823299"/>
      <w:bookmarkStart w:id="69" w:name="_Toc16938543"/>
      <w:bookmarkStart w:id="70" w:name="_Toc513029227"/>
      <w:r>
        <w:rPr>
          <w:rFonts w:hint="eastAsia" w:ascii="宋体" w:hAnsi="宋体" w:eastAsia="宋体" w:cs="宋体"/>
          <w:sz w:val="24"/>
          <w:szCs w:val="24"/>
        </w:rPr>
        <w:t>3.投标文件</w:t>
      </w:r>
      <w:bookmarkEnd w:id="68"/>
      <w:bookmarkEnd w:id="69"/>
      <w:bookmarkEnd w:id="70"/>
      <w:r>
        <w:rPr>
          <w:rFonts w:hint="eastAsia" w:ascii="宋体" w:hAnsi="宋体" w:eastAsia="宋体" w:cs="宋体"/>
          <w:sz w:val="24"/>
          <w:szCs w:val="24"/>
        </w:rPr>
        <w:t>的拒收</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3.1 采购人拒绝接收在其规定的投标截止时间后递交的任何投标文件。</w:t>
      </w:r>
    </w:p>
    <w:p>
      <w:pPr>
        <w:pStyle w:val="6"/>
        <w:adjustRightInd w:val="0"/>
        <w:snapToGrid w:val="0"/>
        <w:spacing w:line="360" w:lineRule="auto"/>
        <w:ind w:firstLine="480" w:firstLineChars="200"/>
        <w:jc w:val="both"/>
        <w:rPr>
          <w:rFonts w:ascii="宋体" w:hAnsi="宋体" w:eastAsia="宋体" w:cs="宋体"/>
          <w:b/>
          <w:bCs/>
          <w:sz w:val="24"/>
          <w:szCs w:val="24"/>
        </w:rPr>
      </w:pPr>
      <w:bookmarkStart w:id="71" w:name="_Toc513029228"/>
      <w:bookmarkStart w:id="72" w:name="_Toc16938544"/>
      <w:bookmarkStart w:id="73" w:name="_Toc20823300"/>
      <w:r>
        <w:rPr>
          <w:rFonts w:hint="eastAsia" w:ascii="宋体" w:hAnsi="宋体" w:eastAsia="宋体" w:cs="宋体"/>
          <w:sz w:val="24"/>
          <w:szCs w:val="24"/>
        </w:rPr>
        <w:t>4.投标文件的撤回和修改</w:t>
      </w:r>
      <w:bookmarkEnd w:id="71"/>
      <w:bookmarkEnd w:id="72"/>
      <w:bookmarkEnd w:id="73"/>
    </w:p>
    <w:p>
      <w:pPr>
        <w:adjustRightInd w:val="0"/>
        <w:snapToGrid w:val="0"/>
        <w:spacing w:line="360" w:lineRule="auto"/>
        <w:ind w:firstLine="480" w:firstLineChars="200"/>
        <w:rPr>
          <w:rFonts w:ascii="宋体" w:hAnsi="宋体" w:cs="宋体"/>
          <w:sz w:val="24"/>
        </w:rPr>
      </w:pPr>
      <w:r>
        <w:rPr>
          <w:rFonts w:hint="eastAsia" w:ascii="宋体" w:hAnsi="宋体" w:cs="宋体"/>
          <w:sz w:val="24"/>
        </w:rPr>
        <w:t>4.1 投标文件的撤回</w:t>
      </w:r>
    </w:p>
    <w:p>
      <w:pPr>
        <w:pStyle w:val="6"/>
        <w:adjustRightInd w:val="0"/>
        <w:snapToGri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4.1.1投标文件的撤回</w:t>
      </w:r>
    </w:p>
    <w:p>
      <w:pPr>
        <w:pStyle w:val="6"/>
        <w:adjustRightInd w:val="0"/>
        <w:snapToGri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投标供应商可在投标截止时间前，以书面的形式撤回其递交的投标文件。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4.1.2 投标供应商撤回递交的投标文件，则认为其不再参与本项目投标活动。</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4.2 投标文件的修改</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投标供应商可在投标文件递交截止时间前，对其投标文件进行修改。</w:t>
      </w:r>
    </w:p>
    <w:p>
      <w:pPr>
        <w:adjustRightInd w:val="0"/>
        <w:snapToGrid w:val="0"/>
        <w:spacing w:line="360" w:lineRule="auto"/>
        <w:ind w:firstLine="480" w:firstLineChars="200"/>
        <w:rPr>
          <w:rFonts w:ascii="宋体" w:hAnsi="宋体" w:cs="宋体"/>
          <w:bCs/>
          <w:sz w:val="24"/>
        </w:rPr>
      </w:pPr>
      <w:r>
        <w:rPr>
          <w:rFonts w:hint="eastAsia" w:ascii="宋体" w:hAnsi="宋体" w:cs="宋体"/>
          <w:sz w:val="24"/>
        </w:rPr>
        <w:t>4.3</w:t>
      </w:r>
      <w:r>
        <w:rPr>
          <w:rFonts w:hint="eastAsia" w:ascii="宋体" w:hAnsi="宋体" w:cs="宋体"/>
          <w:bCs/>
          <w:sz w:val="24"/>
        </w:rPr>
        <w:t xml:space="preserve"> 在投标截止时间之后，投标供应商不得对其投标文件作任何修改。</w:t>
      </w:r>
    </w:p>
    <w:p>
      <w:pPr>
        <w:adjustRightInd w:val="0"/>
        <w:snapToGrid w:val="0"/>
        <w:spacing w:line="360" w:lineRule="auto"/>
        <w:ind w:firstLine="480" w:firstLineChars="200"/>
        <w:rPr>
          <w:rFonts w:ascii="宋体" w:hAnsi="宋体" w:cs="宋体"/>
          <w:bCs/>
          <w:sz w:val="24"/>
        </w:rPr>
      </w:pPr>
      <w:r>
        <w:rPr>
          <w:rFonts w:hint="eastAsia" w:ascii="宋体" w:hAnsi="宋体" w:cs="宋体"/>
          <w:sz w:val="24"/>
        </w:rPr>
        <w:t>4.4</w:t>
      </w:r>
      <w:r>
        <w:rPr>
          <w:rFonts w:hint="eastAsia" w:ascii="宋体" w:hAnsi="宋体" w:cs="宋体"/>
          <w:bCs/>
          <w:sz w:val="24"/>
        </w:rPr>
        <w:t xml:space="preserve"> 在投标截止时间至招标文件中规定的投标有效期满之间的这段时间内，投标供应商不得撤回其投标。</w:t>
      </w:r>
    </w:p>
    <w:p>
      <w:pPr>
        <w:pStyle w:val="5"/>
        <w:adjustRightInd w:val="0"/>
        <w:snapToGrid w:val="0"/>
        <w:spacing w:before="0" w:after="0" w:line="360" w:lineRule="auto"/>
        <w:ind w:firstLine="482" w:firstLineChars="200"/>
        <w:rPr>
          <w:rFonts w:ascii="宋体" w:hAnsi="宋体" w:cs="宋体"/>
          <w:sz w:val="24"/>
          <w:szCs w:val="24"/>
        </w:rPr>
      </w:pPr>
      <w:bookmarkStart w:id="74" w:name="_Toc16938545"/>
      <w:bookmarkStart w:id="75" w:name="_Toc513029229"/>
      <w:bookmarkStart w:id="76" w:name="_Toc120614218"/>
      <w:bookmarkStart w:id="77" w:name="_Toc20823301"/>
      <w:r>
        <w:rPr>
          <w:rFonts w:hint="eastAsia" w:ascii="宋体" w:hAnsi="宋体" w:cs="宋体"/>
          <w:sz w:val="24"/>
          <w:szCs w:val="24"/>
        </w:rPr>
        <w:t>（五）开标与评标</w:t>
      </w:r>
      <w:bookmarkEnd w:id="74"/>
      <w:bookmarkEnd w:id="75"/>
      <w:bookmarkEnd w:id="76"/>
      <w:bookmarkEnd w:id="77"/>
    </w:p>
    <w:p>
      <w:pPr>
        <w:pStyle w:val="6"/>
        <w:adjustRightInd w:val="0"/>
        <w:snapToGrid w:val="0"/>
        <w:spacing w:line="360" w:lineRule="auto"/>
        <w:ind w:firstLine="480" w:firstLineChars="200"/>
        <w:jc w:val="both"/>
        <w:rPr>
          <w:rFonts w:ascii="宋体" w:hAnsi="宋体" w:eastAsia="宋体" w:cs="宋体"/>
          <w:b/>
          <w:bCs/>
          <w:sz w:val="24"/>
          <w:szCs w:val="24"/>
        </w:rPr>
      </w:pPr>
      <w:bookmarkStart w:id="78" w:name="_Toc513029230"/>
      <w:bookmarkStart w:id="79" w:name="_Toc20823302"/>
      <w:bookmarkStart w:id="80" w:name="_Toc16938546"/>
      <w:r>
        <w:rPr>
          <w:rFonts w:hint="eastAsia" w:ascii="宋体" w:hAnsi="宋体" w:eastAsia="宋体" w:cs="宋体"/>
          <w:sz w:val="24"/>
          <w:szCs w:val="24"/>
        </w:rPr>
        <w:t>1开标</w:t>
      </w:r>
      <w:bookmarkEnd w:id="78"/>
      <w:bookmarkEnd w:id="79"/>
      <w:bookmarkEnd w:id="80"/>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1.1 采购人或采购代理机构将在招标公告中规定的时间和地点组织现场开标。</w:t>
      </w:r>
    </w:p>
    <w:p>
      <w:pPr>
        <w:pStyle w:val="6"/>
        <w:adjustRightInd w:val="0"/>
        <w:snapToGrid w:val="0"/>
        <w:spacing w:line="360" w:lineRule="auto"/>
        <w:ind w:firstLine="480" w:firstLineChars="200"/>
        <w:jc w:val="both"/>
        <w:rPr>
          <w:rFonts w:ascii="宋体" w:hAnsi="宋体" w:eastAsia="宋体" w:cs="宋体"/>
          <w:b/>
          <w:bCs/>
          <w:sz w:val="24"/>
          <w:szCs w:val="24"/>
        </w:rPr>
      </w:pPr>
      <w:bookmarkStart w:id="81" w:name="_Toc16938547"/>
      <w:bookmarkStart w:id="82" w:name="_Toc513029231"/>
      <w:bookmarkStart w:id="83" w:name="_Toc20823303"/>
      <w:r>
        <w:rPr>
          <w:rFonts w:hint="eastAsia" w:ascii="宋体" w:hAnsi="宋体" w:eastAsia="宋体" w:cs="宋体"/>
          <w:sz w:val="24"/>
          <w:szCs w:val="24"/>
        </w:rPr>
        <w:t>2评标委员会</w:t>
      </w:r>
    </w:p>
    <w:p>
      <w:pPr>
        <w:adjustRightInd w:val="0"/>
        <w:snapToGrid w:val="0"/>
        <w:spacing w:line="360" w:lineRule="auto"/>
        <w:ind w:firstLine="480" w:firstLineChars="200"/>
        <w:rPr>
          <w:rFonts w:ascii="宋体" w:hAnsi="宋体" w:cs="宋体"/>
          <w:bCs/>
          <w:sz w:val="24"/>
        </w:rPr>
      </w:pPr>
      <w:r>
        <w:rPr>
          <w:rFonts w:hint="eastAsia" w:ascii="宋体" w:hAnsi="宋体" w:cs="宋体"/>
          <w:sz w:val="24"/>
        </w:rPr>
        <w:t>2.1</w:t>
      </w:r>
      <w:r>
        <w:rPr>
          <w:rFonts w:hint="eastAsia" w:ascii="宋体" w:hAnsi="宋体" w:cs="宋体"/>
          <w:b/>
          <w:sz w:val="24"/>
        </w:rPr>
        <w:t xml:space="preserve"> </w:t>
      </w:r>
      <w:r>
        <w:rPr>
          <w:rFonts w:hint="eastAsia" w:ascii="宋体" w:hAnsi="宋体" w:cs="宋体"/>
          <w:sz w:val="24"/>
        </w:rPr>
        <w:t>开标后</w:t>
      </w:r>
      <w:r>
        <w:rPr>
          <w:rFonts w:hint="eastAsia" w:ascii="宋体" w:hAnsi="宋体" w:cs="宋体"/>
          <w:bCs/>
          <w:sz w:val="24"/>
        </w:rPr>
        <w:t>，采购人或采购代理机构将立即组织评标委员会（以下简称评委会）进行评标。</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2.2 评委会由采购人代表（如有）和有关技</w:t>
      </w:r>
      <w:r>
        <w:rPr>
          <w:rFonts w:hint="eastAsia" w:ascii="宋体" w:hAnsi="宋体" w:cs="宋体"/>
          <w:sz w:val="24"/>
        </w:rPr>
        <w:t>术、经济等方面的专家组成，且人员构成符合国企采购有关规定。</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2.3评委会独立工作，负责评审所有投标文件并确定成交候选人。</w:t>
      </w:r>
    </w:p>
    <w:p>
      <w:pPr>
        <w:pStyle w:val="6"/>
        <w:adjustRightInd w:val="0"/>
        <w:snapToGrid w:val="0"/>
        <w:spacing w:line="360" w:lineRule="auto"/>
        <w:ind w:firstLine="480" w:firstLineChars="200"/>
        <w:jc w:val="both"/>
        <w:rPr>
          <w:rFonts w:ascii="宋体" w:hAnsi="宋体" w:eastAsia="宋体" w:cs="宋体"/>
          <w:b/>
          <w:bCs/>
          <w:sz w:val="24"/>
          <w:szCs w:val="24"/>
        </w:rPr>
      </w:pPr>
      <w:r>
        <w:rPr>
          <w:rFonts w:hint="eastAsia" w:ascii="宋体" w:hAnsi="宋体" w:eastAsia="宋体" w:cs="宋体"/>
          <w:sz w:val="24"/>
          <w:szCs w:val="24"/>
        </w:rPr>
        <w:t>3.评标过程的保密与公正</w:t>
      </w:r>
    </w:p>
    <w:bookmarkEnd w:id="81"/>
    <w:bookmarkEnd w:id="82"/>
    <w:bookmarkEnd w:id="83"/>
    <w:p>
      <w:pPr>
        <w:adjustRightInd w:val="0"/>
        <w:snapToGrid w:val="0"/>
        <w:spacing w:line="360" w:lineRule="auto"/>
        <w:ind w:firstLine="480" w:firstLineChars="200"/>
        <w:rPr>
          <w:rFonts w:ascii="宋体" w:hAnsi="宋体" w:cs="宋体"/>
          <w:bCs/>
          <w:sz w:val="24"/>
        </w:rPr>
      </w:pPr>
      <w:r>
        <w:rPr>
          <w:rFonts w:hint="eastAsia" w:ascii="宋体" w:hAnsi="宋体" w:cs="宋体"/>
          <w:sz w:val="24"/>
        </w:rPr>
        <w:t>3.1</w:t>
      </w:r>
      <w:r>
        <w:rPr>
          <w:rFonts w:hint="eastAsia" w:ascii="宋体" w:hAnsi="宋体" w:cs="宋体"/>
          <w:bCs/>
          <w:sz w:val="24"/>
        </w:rPr>
        <w:t>公开开标后，直至向成交的投标供应商授予合同时止，凡是与审查、澄清、评价和比较投标的有关资料以及授标建议等，采购人、评委、采购代理机构均不得向投标供应商或与评标无关的其他人员透露。</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3.2在评标过程中，投标供应商不得以任何行为影响评标过程，否则其投标文件将被作为无效投标文件。</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3.3在评标期间，采购代理机构配合采购人将设专门人员与投标供应商联系。</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3.4采购人和评标委员会不向未成交的投标供应商解释</w:t>
      </w:r>
      <w:r>
        <w:rPr>
          <w:rFonts w:hint="eastAsia" w:ascii="宋体" w:hAnsi="宋体" w:cs="宋体"/>
          <w:sz w:val="24"/>
        </w:rPr>
        <w:t>未成交原因，也不公布评标过程中的相关细节。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3.5 采用综合评分法的项目，公布评标结果时一并公布所有投标供应商的评审得分及排序情况。</w:t>
      </w:r>
    </w:p>
    <w:p>
      <w:pPr>
        <w:pStyle w:val="6"/>
        <w:adjustRightInd w:val="0"/>
        <w:snapToGrid w:val="0"/>
        <w:spacing w:line="360" w:lineRule="auto"/>
        <w:ind w:firstLine="480" w:firstLineChars="200"/>
        <w:jc w:val="both"/>
        <w:rPr>
          <w:rFonts w:ascii="宋体" w:hAnsi="宋体" w:eastAsia="宋体" w:cs="宋体"/>
          <w:b/>
          <w:bCs/>
          <w:sz w:val="24"/>
          <w:szCs w:val="24"/>
        </w:rPr>
      </w:pPr>
      <w:bookmarkStart w:id="84" w:name="_Toc513029232"/>
      <w:bookmarkStart w:id="85" w:name="_Toc16938548"/>
      <w:bookmarkStart w:id="86" w:name="_Toc20823304"/>
      <w:r>
        <w:rPr>
          <w:rFonts w:hint="eastAsia" w:ascii="宋体" w:hAnsi="宋体" w:eastAsia="宋体" w:cs="宋体"/>
          <w:sz w:val="24"/>
          <w:szCs w:val="24"/>
        </w:rPr>
        <w:t>4.投标的澄清</w:t>
      </w:r>
      <w:bookmarkEnd w:id="84"/>
      <w:bookmarkEnd w:id="85"/>
      <w:bookmarkEnd w:id="86"/>
    </w:p>
    <w:p>
      <w:pPr>
        <w:adjustRightInd w:val="0"/>
        <w:snapToGrid w:val="0"/>
        <w:spacing w:line="360" w:lineRule="auto"/>
        <w:ind w:firstLine="480" w:firstLineChars="200"/>
        <w:rPr>
          <w:rFonts w:ascii="宋体" w:hAnsi="宋体" w:cs="宋体"/>
          <w:sz w:val="24"/>
        </w:rPr>
      </w:pPr>
      <w:r>
        <w:rPr>
          <w:rFonts w:hint="eastAsia" w:ascii="宋体" w:hAnsi="宋体" w:cs="宋体"/>
          <w:sz w:val="24"/>
        </w:rPr>
        <w:t>4.1评标期间，为有助于对投标文件的审查、评价和比较，评委会有权以书面形式要求投标供应商对其投标文件进行澄清，但并非对每个投标供应商都作澄清要求。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4.2接到评委会澄清要求的投标供应商应派人按评委会规定的时间和格式以书面形式做出澄清，澄清的内容作为投标文件的补充部分，但投标的价格和实质性的内容不得做任何更改。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4.3 接到评委会澄清要求的投标供应商如未按规定做出澄清，其风险由投标供应商自行承担。</w:t>
      </w:r>
    </w:p>
    <w:p>
      <w:pPr>
        <w:pStyle w:val="6"/>
        <w:adjustRightInd w:val="0"/>
        <w:snapToGrid w:val="0"/>
        <w:spacing w:line="360" w:lineRule="auto"/>
        <w:ind w:firstLine="480" w:firstLineChars="200"/>
        <w:jc w:val="both"/>
        <w:rPr>
          <w:rFonts w:ascii="宋体" w:hAnsi="宋体" w:eastAsia="宋体" w:cs="宋体"/>
          <w:b/>
          <w:bCs/>
          <w:sz w:val="24"/>
          <w:szCs w:val="24"/>
        </w:rPr>
      </w:pPr>
      <w:bookmarkStart w:id="87" w:name="_Toc513029233"/>
      <w:bookmarkStart w:id="88" w:name="_Toc16938549"/>
      <w:bookmarkStart w:id="89" w:name="_Toc20823305"/>
      <w:r>
        <w:rPr>
          <w:rFonts w:hint="eastAsia" w:ascii="宋体" w:hAnsi="宋体" w:eastAsia="宋体" w:cs="宋体"/>
          <w:sz w:val="24"/>
          <w:szCs w:val="24"/>
        </w:rPr>
        <w:t>5对投标文件的初审</w:t>
      </w:r>
      <w:bookmarkEnd w:id="87"/>
      <w:bookmarkEnd w:id="88"/>
      <w:bookmarkEnd w:id="89"/>
    </w:p>
    <w:p>
      <w:pPr>
        <w:adjustRightInd w:val="0"/>
        <w:snapToGrid w:val="0"/>
        <w:spacing w:line="360" w:lineRule="auto"/>
        <w:ind w:firstLine="480" w:firstLineChars="200"/>
        <w:rPr>
          <w:rFonts w:ascii="宋体" w:hAnsi="宋体" w:cs="宋体"/>
          <w:bCs/>
          <w:sz w:val="24"/>
        </w:rPr>
      </w:pPr>
      <w:r>
        <w:rPr>
          <w:rFonts w:hint="eastAsia" w:ascii="宋体" w:hAnsi="宋体" w:cs="宋体"/>
          <w:sz w:val="24"/>
        </w:rPr>
        <w:t>5.1</w:t>
      </w:r>
      <w:r>
        <w:rPr>
          <w:rFonts w:hint="eastAsia" w:ascii="宋体" w:hAnsi="宋体" w:cs="宋体"/>
          <w:bCs/>
          <w:sz w:val="24"/>
        </w:rPr>
        <w:t>投标文件初审分为资格审查和符合性审查。</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5.1.1 资格审查：依据法律法规和招标文件的规定，由采购人或授权评标委员会对投标文件中的资格证明文件进行审查。资格审查的结论，以书面形式向评委会进行反馈。</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接受联合体的项目，两个以上的自然人、法人或者其他组织组成一个联合体，以一个投标供应商的身份共同参加国企采购活动的,联合体成员中任何一方存在不良信用记录的，视同联合体存在不良应用记录。</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5.1.2 符合性审查：依据招标文件的规定，由评委会从投标文件的有效性、完整性和对招标文件的响应程度进行审查，以确定是否对招标文件的实质性要求做出响应。</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5.1.3 未通过资格审查或符合性审查的投标供应商，将现场告知未通过资格审查或符合性审查的原因，评审结束后，将不再告知未通过资格审查或符合性审查的原因。</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5.2在详细评标之前，评委会将首先审查每份投标文件是否实质性响应了招标文件的要求。实质性响应的投标应该是与招标文件要求的全部条款、条件和规格相符，没有重大偏离或保留的投标。</w:t>
      </w:r>
    </w:p>
    <w:p>
      <w:pPr>
        <w:adjustRightInd w:val="0"/>
        <w:snapToGrid w:val="0"/>
        <w:spacing w:line="360" w:lineRule="auto"/>
        <w:ind w:firstLine="480" w:firstLineChars="200"/>
        <w:rPr>
          <w:rFonts w:ascii="宋体" w:hAnsi="宋体" w:cs="宋体"/>
          <w:bCs/>
          <w:sz w:val="24"/>
        </w:rPr>
      </w:pPr>
      <w:r>
        <w:rPr>
          <w:rFonts w:hint="eastAsia" w:ascii="宋体" w:hAnsi="宋体" w:cs="宋体"/>
          <w:sz w:val="24"/>
        </w:rPr>
        <w:t>所谓重大偏离或保留是指与招标文件规定的实质性要求存在负偏离，或者在实质上与招标文件不一致，而且限制了合同中买方和见证方的权利或投标供应商的义务，纠正这些偏离或保留将会对其他实质性响应要求的投标供应商的竞争地位产生不公正的影响。重大偏离的认定需经过评委会以少数服从多数的原则做出结论。</w:t>
      </w:r>
      <w:r>
        <w:rPr>
          <w:rFonts w:hint="eastAsia" w:ascii="宋体" w:hAnsi="宋体" w:cs="宋体"/>
          <w:bCs/>
          <w:sz w:val="24"/>
        </w:rPr>
        <w:t>评委决定投标文件的响应性只根据投标文件本身的内容，而不寻求外部的证据。</w:t>
      </w:r>
    </w:p>
    <w:p>
      <w:pPr>
        <w:adjustRightInd w:val="0"/>
        <w:snapToGrid w:val="0"/>
        <w:spacing w:line="360" w:lineRule="auto"/>
        <w:ind w:firstLine="480" w:firstLineChars="200"/>
        <w:rPr>
          <w:rFonts w:ascii="宋体" w:hAnsi="宋体" w:cs="宋体"/>
          <w:bCs/>
          <w:sz w:val="24"/>
        </w:rPr>
      </w:pPr>
      <w:r>
        <w:rPr>
          <w:rFonts w:hint="eastAsia" w:ascii="宋体" w:hAnsi="宋体" w:cs="宋体"/>
          <w:sz w:val="24"/>
        </w:rPr>
        <w:t>5.3</w:t>
      </w:r>
      <w:r>
        <w:rPr>
          <w:rFonts w:hint="eastAsia" w:ascii="宋体" w:hAnsi="宋体" w:cs="宋体"/>
          <w:bCs/>
          <w:sz w:val="24"/>
        </w:rPr>
        <w:t>如果投标文件实质上没有响应招标文件的要求，评委会将予以拒绝，投标供应商不得通过修改或撤销不合要求的偏离或保留而使其投标成为实质性响应的投标。</w:t>
      </w:r>
    </w:p>
    <w:p>
      <w:pPr>
        <w:adjustRightInd w:val="0"/>
        <w:snapToGrid w:val="0"/>
        <w:spacing w:line="360" w:lineRule="auto"/>
        <w:ind w:firstLine="480" w:firstLineChars="200"/>
        <w:rPr>
          <w:rFonts w:ascii="宋体" w:hAnsi="宋体" w:cs="宋体"/>
          <w:bCs/>
          <w:sz w:val="24"/>
        </w:rPr>
      </w:pPr>
      <w:r>
        <w:rPr>
          <w:rFonts w:hint="eastAsia" w:ascii="宋体" w:hAnsi="宋体" w:cs="宋体"/>
          <w:sz w:val="24"/>
        </w:rPr>
        <w:t>5.4</w:t>
      </w:r>
      <w:r>
        <w:rPr>
          <w:rFonts w:hint="eastAsia" w:ascii="宋体" w:hAnsi="宋体" w:cs="宋体"/>
          <w:bCs/>
          <w:sz w:val="24"/>
        </w:rPr>
        <w:t>评委会将对确定为实质性响应的投标进行进一步审核，看其是否有计算上或累加上的算术错误，修正错误的原则如下：</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（1）投标文件中开标一览表内容与投标文件中相应内容不一致的，以开标一览表为准。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（2）大写金额和小写金额不一致的，以大写金额为准。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（3）单价金额小数点或者百分比有明显错位的，以开标一览表的总价为准，并修改单价。</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（4）总价金额与按单价汇总金额不一致的，以单价金额计算结果为准。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同时出现两种以上错误的，按照前款规定的顺序修正。</w:t>
      </w:r>
    </w:p>
    <w:p>
      <w:pPr>
        <w:adjustRightInd w:val="0"/>
        <w:snapToGrid w:val="0"/>
        <w:spacing w:line="360" w:lineRule="auto"/>
        <w:ind w:firstLine="480" w:firstLineChars="200"/>
        <w:rPr>
          <w:rFonts w:ascii="宋体" w:hAnsi="宋体" w:cs="宋体"/>
          <w:bCs/>
          <w:sz w:val="24"/>
        </w:rPr>
      </w:pPr>
      <w:r>
        <w:rPr>
          <w:rFonts w:hint="eastAsia" w:ascii="宋体" w:hAnsi="宋体" w:cs="宋体"/>
          <w:sz w:val="24"/>
        </w:rPr>
        <w:t>5.5</w:t>
      </w:r>
      <w:r>
        <w:rPr>
          <w:rFonts w:hint="eastAsia" w:ascii="宋体" w:hAnsi="宋体" w:cs="宋体"/>
          <w:bCs/>
          <w:sz w:val="24"/>
        </w:rPr>
        <w:t>评委会将按上述修正错误的方法调整投标文件中的投标报价，并现场告知投标供应商，调整后的价格应对投标供应商具有约束力。如果投标供应商不接受修正后的价格，则其投标将被拒绝。</w:t>
      </w:r>
    </w:p>
    <w:p>
      <w:pPr>
        <w:adjustRightInd w:val="0"/>
        <w:snapToGrid w:val="0"/>
        <w:spacing w:line="360" w:lineRule="auto"/>
        <w:ind w:firstLine="480" w:firstLineChars="200"/>
        <w:rPr>
          <w:rFonts w:ascii="宋体" w:hAnsi="宋体" w:cs="宋体"/>
          <w:bCs/>
          <w:sz w:val="24"/>
        </w:rPr>
      </w:pPr>
      <w:r>
        <w:rPr>
          <w:rFonts w:hint="eastAsia" w:ascii="宋体" w:hAnsi="宋体" w:cs="宋体"/>
          <w:sz w:val="24"/>
        </w:rPr>
        <w:t>5.6</w:t>
      </w:r>
      <w:r>
        <w:rPr>
          <w:rFonts w:hint="eastAsia" w:ascii="宋体" w:hAnsi="宋体" w:cs="宋体"/>
          <w:bCs/>
          <w:sz w:val="24"/>
        </w:rPr>
        <w:t>评委会将允许修正投标文件中不构成重大偏离的、微小的、非正规的、不一致的或不规则的地方，但这些修改不能影响任何投标供应商相应的名次排列。</w:t>
      </w:r>
    </w:p>
    <w:p>
      <w:pPr>
        <w:adjustRightInd w:val="0"/>
        <w:snapToGrid w:val="0"/>
        <w:spacing w:line="360" w:lineRule="auto"/>
        <w:ind w:firstLine="480" w:firstLineChars="200"/>
        <w:rPr>
          <w:rFonts w:ascii="宋体" w:hAnsi="宋体" w:cs="宋体"/>
          <w:sz w:val="24"/>
        </w:rPr>
      </w:pPr>
      <w:bookmarkStart w:id="90" w:name="_Toc20823306"/>
      <w:bookmarkStart w:id="91" w:name="_Toc513029234"/>
      <w:bookmarkStart w:id="92" w:name="_Toc16938550"/>
      <w:r>
        <w:rPr>
          <w:rFonts w:hint="eastAsia" w:ascii="宋体" w:hAnsi="宋体" w:cs="宋体"/>
          <w:sz w:val="24"/>
        </w:rPr>
        <w:t>5.7采用最低评标价法的采购项目，提供相同品牌产品的不同投标供应商参加同一合同项下投标的，以其中通过资格审查、符合性审查且报价最低的参加评标；报价相同的，由评标委员会按照招标文件规定的方式（招标文件未规定的通过随机抽取的方式）确定一个参加评标的投标供应商，其他投标无效。</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使用综合评分法的采购项目，提供相同品牌产品且通过资格审查、符合性审查的不同投标供应商参加同一合同项下投标的，按一家投标供应商计算，评审后得分最高的同品牌投标供应商获得成交供应商推荐资格；评审得分相同的，由评标委员会根据招标文件规定的方式（招标文件未规定的采取随机抽取的方式）确定一个成交候选人，其他同品牌投标供应商不作为成交候选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非单一产品采购项目，招标文件中将载明其中的核心产品。多家投标供应商提供的核心产品品牌相同的，按前两款规定处理。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5.8 投标供应商在开、评标全过程中应保持通讯畅通，并安排专人与采购代理机构及评标委员会联系。</w:t>
      </w:r>
    </w:p>
    <w:bookmarkEnd w:id="90"/>
    <w:bookmarkEnd w:id="91"/>
    <w:bookmarkEnd w:id="92"/>
    <w:p>
      <w:pPr>
        <w:pStyle w:val="6"/>
        <w:adjustRightInd w:val="0"/>
        <w:snapToGrid w:val="0"/>
        <w:spacing w:line="360" w:lineRule="auto"/>
        <w:ind w:firstLine="480" w:firstLineChars="200"/>
        <w:jc w:val="both"/>
        <w:rPr>
          <w:rFonts w:ascii="宋体" w:hAnsi="宋体" w:eastAsia="宋体" w:cs="宋体"/>
          <w:b/>
          <w:bCs/>
          <w:sz w:val="24"/>
          <w:szCs w:val="24"/>
        </w:rPr>
      </w:pPr>
      <w:r>
        <w:rPr>
          <w:rFonts w:hint="eastAsia" w:ascii="宋体" w:hAnsi="宋体" w:eastAsia="宋体" w:cs="宋体"/>
          <w:sz w:val="24"/>
          <w:szCs w:val="24"/>
        </w:rPr>
        <w:t>6.无效投标条款和废标条款</w:t>
      </w:r>
    </w:p>
    <w:p>
      <w:pPr>
        <w:adjustRightInd w:val="0"/>
        <w:snapToGrid w:val="0"/>
        <w:spacing w:line="360" w:lineRule="auto"/>
        <w:ind w:firstLine="480" w:firstLineChars="200"/>
        <w:rPr>
          <w:rFonts w:ascii="宋体" w:hAnsi="宋体" w:cs="宋体"/>
          <w:bCs/>
          <w:sz w:val="24"/>
        </w:rPr>
      </w:pPr>
      <w:bookmarkStart w:id="93" w:name="_Toc20823307"/>
      <w:bookmarkStart w:id="94" w:name="_Toc16938551"/>
      <w:bookmarkStart w:id="95" w:name="_Toc513029235"/>
      <w:r>
        <w:rPr>
          <w:rFonts w:hint="eastAsia" w:ascii="宋体" w:hAnsi="宋体" w:cs="宋体"/>
          <w:bCs/>
          <w:sz w:val="24"/>
        </w:rPr>
        <w:t>6.1无效投标条款</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6.1.1</w:t>
      </w:r>
      <w:r>
        <w:rPr>
          <w:rFonts w:hint="eastAsia" w:ascii="宋体" w:hAnsi="宋体"/>
          <w:bCs/>
          <w:sz w:val="24"/>
        </w:rPr>
        <w:t>投标文件未按规定要求装订、密封、签署、盖章。</w:t>
      </w:r>
    </w:p>
    <w:p>
      <w:pPr>
        <w:adjustRightInd w:val="0"/>
        <w:snapToGrid w:val="0"/>
        <w:spacing w:line="360" w:lineRule="auto"/>
        <w:ind w:firstLine="480" w:firstLineChars="200"/>
        <w:rPr>
          <w:rFonts w:ascii="宋体" w:hAnsi="宋体" w:cs="宋体"/>
          <w:bCs/>
          <w:sz w:val="24"/>
        </w:rPr>
      </w:pPr>
      <w:r>
        <w:rPr>
          <w:rFonts w:hint="eastAsia" w:ascii="宋体" w:hAnsi="宋体"/>
          <w:bCs/>
          <w:sz w:val="24"/>
        </w:rPr>
        <w:t>6.1.2资格审查证明材料、商务技术标中出现投标报价的</w:t>
      </w:r>
      <w:r>
        <w:rPr>
          <w:rFonts w:hint="eastAsia" w:ascii="宋体" w:hAnsi="宋体"/>
          <w:bCs/>
          <w:sz w:val="24"/>
          <w:lang w:val="zh-CN"/>
        </w:rPr>
        <w:t>。</w:t>
      </w:r>
    </w:p>
    <w:p>
      <w:pPr>
        <w:adjustRightInd w:val="0"/>
        <w:snapToGrid w:val="0"/>
        <w:spacing w:line="360" w:lineRule="auto"/>
        <w:ind w:firstLine="480" w:firstLineChars="200"/>
        <w:rPr>
          <w:rFonts w:ascii="宋体" w:hAnsi="宋体"/>
          <w:bCs/>
          <w:sz w:val="24"/>
        </w:rPr>
      </w:pPr>
      <w:r>
        <w:rPr>
          <w:rFonts w:hint="eastAsia" w:ascii="宋体" w:hAnsi="宋体"/>
          <w:bCs/>
          <w:sz w:val="24"/>
        </w:rPr>
        <w:t>6.1.3投标文件的资料有虚报或者谎报的。</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6.1.4同一投标供应商提交两个（含两个）以上不同的投标报价的。</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6.1.5投标供应商不具备招标文件中规定资格要求的。</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6.1.6投标供应商的报价超过了采购预算或总价最高限价或分项最高限价的。</w:t>
      </w:r>
    </w:p>
    <w:p>
      <w:pPr>
        <w:adjustRightInd w:val="0"/>
        <w:snapToGrid w:val="0"/>
        <w:spacing w:line="360" w:lineRule="auto"/>
        <w:ind w:firstLine="480" w:firstLineChars="200"/>
        <w:rPr>
          <w:rFonts w:ascii="宋体" w:hAnsi="宋体" w:cs="宋体"/>
          <w:bCs/>
          <w:i/>
          <w:sz w:val="24"/>
          <w:u w:val="single"/>
        </w:rPr>
      </w:pPr>
      <w:r>
        <w:rPr>
          <w:rFonts w:hint="eastAsia" w:ascii="宋体" w:hAnsi="宋体" w:cs="宋体"/>
          <w:bCs/>
          <w:sz w:val="24"/>
        </w:rPr>
        <w:t>6.1.7未通过符合性检查的。</w:t>
      </w:r>
    </w:p>
    <w:p>
      <w:pPr>
        <w:adjustRightInd w:val="0"/>
        <w:snapToGrid w:val="0"/>
        <w:spacing w:line="360" w:lineRule="auto"/>
        <w:ind w:firstLine="480" w:firstLineChars="200"/>
        <w:rPr>
          <w:rFonts w:ascii="宋体" w:hAnsi="宋体" w:cs="宋体"/>
          <w:bCs/>
          <w:i/>
          <w:sz w:val="24"/>
          <w:u w:val="single"/>
        </w:rPr>
      </w:pPr>
      <w:r>
        <w:rPr>
          <w:rFonts w:hint="eastAsia" w:ascii="宋体" w:hAnsi="宋体" w:cs="宋体"/>
          <w:bCs/>
          <w:sz w:val="24"/>
        </w:rPr>
        <w:t>6.1.8不符合招标文件中规定的其他实质性要求和条件的。</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6.1.9 投标供应商被“信用中国”网站列入失信被执行人或重大税收违法案件当事人名单或政府采购严重失信行为记录名单。或查询“信用中国”网站后发现投标供应商存在其他不符合具有独立承担民事责任的能力；具有良好的商业信誉和健全的财务会计制度；具有履行合同所必需的设备和专业技术能力；有依法缴纳税收和社会保障资金的良好记录；前三年内，在经营活动中没有重大违法记录；法律、行政法规规定的其他条件。</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6.1.10 投标文件含有采购人不能接受的附加条件的。</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6.1.11评标委员会认为投标供应商的报价明显低于其他通过符合性审查投标供应商的报价，有可能影响产品质量或者不能诚信履约的，要求其在合理的时间内提供说明，必要时提交相关证明材料；投标供应商不能证明其报价合理性的，评标委员会应当将其作为无效投标处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6.1.12投标供应商的商务技术部分得分相差悬殊，评标委员会认为得分畸低者没有实质性响应的（</w:t>
      </w:r>
      <w:r>
        <w:rPr>
          <w:rFonts w:ascii="宋体" w:hAnsi="宋体" w:cs="宋体"/>
          <w:bCs/>
          <w:sz w:val="24"/>
        </w:rPr>
        <w:t>商务技术分得分低于60%时视为未实质性响应采购文件要求，作为无效投标处理</w:t>
      </w:r>
      <w:r>
        <w:rPr>
          <w:rFonts w:hint="eastAsia" w:ascii="宋体" w:hAnsi="宋体" w:cs="宋体"/>
          <w:bCs/>
          <w:sz w:val="24"/>
        </w:rPr>
        <w:t>）。</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6.1.13其他法律、法规及本招标文件规定的属无效投标的情形。</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6.2废标条款：</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6.2.1符合专业条件的投标供应商或者对招标文件作实质响应的投标供应商不足三家的。</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6.2.2出现影响采购公正的违法、违规行为的。</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6.2.3因重大变故，采购任务取消的。</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6.2.4评标委员会认定招标文件存在歧义、重大缺陷导致评审工作无法进行。</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6.3 投标截止时间结束后参加投标的单位不足三家的处理：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6.3.1如出现投标截止时间结束后参加投标的单位或者在评标期间对招标文件做出实质响应的投标供应商不足三家情况，按国企采购相关规定执行。</w:t>
      </w:r>
    </w:p>
    <w:bookmarkEnd w:id="93"/>
    <w:bookmarkEnd w:id="94"/>
    <w:bookmarkEnd w:id="95"/>
    <w:p>
      <w:pPr>
        <w:pStyle w:val="5"/>
        <w:adjustRightInd w:val="0"/>
        <w:snapToGrid w:val="0"/>
        <w:spacing w:before="0" w:after="0" w:line="360" w:lineRule="auto"/>
        <w:ind w:firstLine="482" w:firstLineChars="200"/>
        <w:rPr>
          <w:rFonts w:ascii="宋体" w:hAnsi="宋体" w:cs="宋体"/>
          <w:sz w:val="24"/>
          <w:szCs w:val="24"/>
        </w:rPr>
      </w:pPr>
      <w:bookmarkStart w:id="96" w:name="_Toc120614219"/>
      <w:r>
        <w:rPr>
          <w:rFonts w:hint="eastAsia" w:ascii="宋体" w:hAnsi="宋体" w:cs="宋体"/>
          <w:sz w:val="24"/>
          <w:szCs w:val="24"/>
        </w:rPr>
        <w:t>（六）定标</w:t>
      </w:r>
      <w:bookmarkEnd w:id="96"/>
    </w:p>
    <w:p>
      <w:pPr>
        <w:pStyle w:val="6"/>
        <w:adjustRightInd w:val="0"/>
        <w:snapToGrid w:val="0"/>
        <w:spacing w:line="360" w:lineRule="auto"/>
        <w:ind w:firstLine="480" w:firstLineChars="200"/>
        <w:jc w:val="both"/>
        <w:rPr>
          <w:rFonts w:ascii="宋体" w:hAnsi="宋体" w:eastAsia="宋体" w:cs="宋体"/>
          <w:b/>
          <w:sz w:val="24"/>
          <w:szCs w:val="24"/>
        </w:rPr>
      </w:pPr>
      <w:bookmarkStart w:id="97" w:name="_Toc16938554"/>
      <w:bookmarkStart w:id="98" w:name="_Toc20823310"/>
      <w:r>
        <w:rPr>
          <w:rFonts w:hint="eastAsia" w:ascii="宋体" w:hAnsi="宋体" w:eastAsia="宋体" w:cs="宋体"/>
          <w:sz w:val="24"/>
          <w:szCs w:val="24"/>
        </w:rPr>
        <w:t>1.确定</w:t>
      </w:r>
      <w:bookmarkEnd w:id="97"/>
      <w:bookmarkEnd w:id="98"/>
      <w:r>
        <w:rPr>
          <w:rFonts w:hint="eastAsia" w:ascii="宋体" w:hAnsi="宋体" w:eastAsia="宋体" w:cs="宋体"/>
          <w:sz w:val="24"/>
          <w:szCs w:val="24"/>
        </w:rPr>
        <w:t>成交单位</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 xml:space="preserve">1.1成交候选人的选取原则和数量见招标文件第四部分规定。 </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1.2采购人授权评委会在成交候选人中直接确定成交供应商。</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1.3采购人将在</w:t>
      </w:r>
      <w:r>
        <w:rPr>
          <w:rFonts w:hint="eastAsia" w:ascii="宋体" w:hAnsi="宋体" w:cs="宋体"/>
          <w:sz w:val="24"/>
        </w:rPr>
        <w:t>南通港集团建设投资有限公司、</w:t>
      </w:r>
      <w:r>
        <w:rPr>
          <w:rFonts w:hint="eastAsia" w:ascii="宋体" w:hAnsi="宋体" w:cs="宋体"/>
          <w:bCs/>
          <w:kern w:val="0"/>
          <w:sz w:val="24"/>
        </w:rPr>
        <w:t>南通港（港口）集团有限公司、江苏省招标投标公共服务平台</w:t>
      </w:r>
      <w:r>
        <w:rPr>
          <w:rFonts w:hint="eastAsia" w:ascii="宋体" w:hAnsi="宋体" w:cs="宋体"/>
          <w:bCs/>
          <w:sz w:val="24"/>
        </w:rPr>
        <w:t>发</w:t>
      </w:r>
      <w:r>
        <w:rPr>
          <w:rFonts w:hint="eastAsia" w:ascii="宋体" w:hAnsi="宋体" w:cs="宋体"/>
          <w:sz w:val="24"/>
        </w:rPr>
        <w:t>布中标（或成交）公告，公告期限为1个工作日。</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1.4若有充分证据证明，成交供应商出现下列情况之一的，一经查实，将被取消成交资格：</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1.4.1提供虚假材料谋取成交的。</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1.4.2</w:t>
      </w:r>
      <w:bookmarkStart w:id="99" w:name="_Hlk107999356"/>
      <w:r>
        <w:rPr>
          <w:rFonts w:hint="eastAsia" w:ascii="宋体" w:hAnsi="宋体" w:cs="宋体"/>
          <w:sz w:val="24"/>
        </w:rPr>
        <w:t>向采购人、采购代理机构及评审专家行贿或者提供其他不正当利益的。</w:t>
      </w:r>
    </w:p>
    <w:bookmarkEnd w:id="99"/>
    <w:p>
      <w:pPr>
        <w:adjustRightInd w:val="0"/>
        <w:snapToGrid w:val="0"/>
        <w:spacing w:line="360" w:lineRule="auto"/>
        <w:ind w:firstLine="480" w:firstLineChars="200"/>
        <w:rPr>
          <w:rFonts w:ascii="宋体" w:hAnsi="宋体" w:cs="宋体"/>
          <w:sz w:val="24"/>
        </w:rPr>
      </w:pPr>
      <w:r>
        <w:rPr>
          <w:rFonts w:hint="eastAsia" w:ascii="宋体" w:hAnsi="宋体" w:cs="宋体"/>
          <w:sz w:val="24"/>
        </w:rPr>
        <w:t>1.4.3恶意竞争，投标总报价明显低于其自身合理成本且又无法提供证明的。</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1.4.4属于本文件规定的无效条件，但在评标过程中又未被评委会发现的。</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1.4.5与采购人或者其他投标供应商恶意串通的。</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1.4.6采取不正当手段诋毁、排挤其他投标供应商的。</w:t>
      </w:r>
    </w:p>
    <w:p>
      <w:pPr>
        <w:adjustRightInd w:val="0"/>
        <w:snapToGrid w:val="0"/>
        <w:spacing w:line="360" w:lineRule="auto"/>
        <w:ind w:firstLine="480" w:firstLineChars="200"/>
        <w:rPr>
          <w:rFonts w:ascii="宋体" w:hAnsi="宋体" w:cs="宋体"/>
          <w:sz w:val="24"/>
        </w:rPr>
      </w:pPr>
      <w:bookmarkStart w:id="100" w:name="_Toc200451960"/>
      <w:r>
        <w:rPr>
          <w:rFonts w:hint="eastAsia" w:ascii="宋体" w:hAnsi="宋体" w:cs="宋体"/>
          <w:sz w:val="24"/>
        </w:rPr>
        <w:t>1.5</w:t>
      </w:r>
      <w:r>
        <w:rPr>
          <w:rFonts w:hint="eastAsia" w:ascii="宋体" w:hAnsi="宋体" w:cs="宋体"/>
          <w:kern w:val="0"/>
          <w:sz w:val="24"/>
        </w:rPr>
        <w:t>有下列情形之一的，视为投标供应商串通投标，投标无效：</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1.5.1不同投标供应商的投标文件由同一单位或者个人编制；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1.5.2不同投标供应商委托同一单位或者个人办理投标事宜；</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1.5.3不同投标供应商的投标文件载明的项目管理成员或者联系人员为同一人；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1.5.4不同投标供应商的投标文件异常一致或者投标报价呈规律性差异；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1.5.5不同投标供应商的投标文件相互混装；</w:t>
      </w:r>
    </w:p>
    <w:p>
      <w:pPr>
        <w:pStyle w:val="6"/>
        <w:adjustRightInd w:val="0"/>
        <w:snapToGrid w:val="0"/>
        <w:spacing w:line="360" w:lineRule="auto"/>
        <w:ind w:firstLine="480" w:firstLineChars="200"/>
        <w:jc w:val="both"/>
        <w:rPr>
          <w:rFonts w:ascii="宋体" w:hAnsi="宋体" w:eastAsia="宋体" w:cs="宋体"/>
          <w:b/>
          <w:sz w:val="24"/>
          <w:szCs w:val="24"/>
        </w:rPr>
      </w:pPr>
      <w:r>
        <w:rPr>
          <w:rFonts w:hint="eastAsia" w:ascii="宋体" w:hAnsi="宋体" w:eastAsia="宋体" w:cs="宋体"/>
          <w:sz w:val="24"/>
          <w:szCs w:val="24"/>
        </w:rPr>
        <w:t>2.质疑处理</w:t>
      </w:r>
      <w:bookmarkEnd w:id="100"/>
    </w:p>
    <w:p>
      <w:pPr>
        <w:adjustRightInd w:val="0"/>
        <w:snapToGrid w:val="0"/>
        <w:spacing w:line="360" w:lineRule="auto"/>
        <w:ind w:firstLine="480" w:firstLineChars="200"/>
        <w:rPr>
          <w:rFonts w:ascii="宋体" w:hAnsi="宋体" w:cs="宋体"/>
          <w:sz w:val="24"/>
        </w:rPr>
      </w:pPr>
      <w:r>
        <w:rPr>
          <w:rFonts w:hint="eastAsia" w:ascii="宋体" w:hAnsi="宋体" w:cs="宋体"/>
          <w:sz w:val="24"/>
        </w:rPr>
        <w:t>2.1 提出质疑的投标供应商应当是参与所质疑项目采购活动的投标供应商。潜在投标供应商依法获取其可质疑的采购文件的，可以对采购文件提出质疑。</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2.2投标供应商认为采购文件、采购过程和采购结果使自己的权益受到损害的，可以在知道或应知其权益受到损害之日起七个工作日内，以书面形式向采购人提出质疑。上述应知其权益受到损害之日，是指：</w:t>
      </w:r>
    </w:p>
    <w:p>
      <w:pPr>
        <w:adjustRightInd w:val="0"/>
        <w:snapToGrid w:val="0"/>
        <w:spacing w:line="360" w:lineRule="auto"/>
        <w:ind w:firstLine="480" w:firstLineChars="200"/>
        <w:rPr>
          <w:rFonts w:ascii="宋体" w:hAnsi="宋体" w:cs="宋体"/>
          <w:kern w:val="0"/>
          <w:sz w:val="24"/>
        </w:rPr>
      </w:pPr>
      <w:r>
        <w:rPr>
          <w:rFonts w:hint="eastAsia" w:ascii="宋体" w:hAnsi="宋体" w:cs="宋体"/>
          <w:sz w:val="24"/>
        </w:rPr>
        <w:t>2.2.1</w:t>
      </w:r>
      <w:r>
        <w:rPr>
          <w:rFonts w:hint="eastAsia" w:ascii="宋体" w:hAnsi="宋体" w:cs="宋体"/>
          <w:kern w:val="0"/>
          <w:sz w:val="24"/>
        </w:rPr>
        <w:t>对可以质疑的采购文件提出质疑的，为收到采购文件之日或者采购文件公告期限届满之日；</w:t>
      </w:r>
      <w:r>
        <w:rPr>
          <w:rFonts w:hint="eastAsia" w:ascii="宋体" w:hAnsi="宋体" w:cs="宋体"/>
          <w:kern w:val="0"/>
          <w:sz w:val="24"/>
        </w:rPr>
        <w:br w:type="textWrapping"/>
      </w:r>
      <w:r>
        <w:rPr>
          <w:rFonts w:hint="eastAsia" w:ascii="宋体" w:hAnsi="宋体" w:cs="宋体"/>
          <w:kern w:val="0"/>
          <w:sz w:val="24"/>
        </w:rPr>
        <w:t>　　</w:t>
      </w:r>
      <w:r>
        <w:rPr>
          <w:rFonts w:hint="eastAsia" w:ascii="宋体" w:hAnsi="宋体" w:cs="宋体"/>
          <w:sz w:val="24"/>
        </w:rPr>
        <w:t>2.2.2</w:t>
      </w:r>
      <w:r>
        <w:rPr>
          <w:rFonts w:hint="eastAsia" w:ascii="宋体" w:hAnsi="宋体" w:cs="宋体"/>
          <w:kern w:val="0"/>
          <w:sz w:val="24"/>
        </w:rPr>
        <w:t>对采购过程提出质疑的，为各采购程序环节结束之日；</w:t>
      </w:r>
      <w:r>
        <w:rPr>
          <w:rFonts w:hint="eastAsia" w:ascii="宋体" w:hAnsi="宋体" w:cs="宋体"/>
          <w:kern w:val="0"/>
          <w:sz w:val="24"/>
        </w:rPr>
        <w:br w:type="textWrapping"/>
      </w:r>
      <w:r>
        <w:rPr>
          <w:rFonts w:hint="eastAsia" w:ascii="宋体" w:hAnsi="宋体" w:cs="宋体"/>
          <w:kern w:val="0"/>
          <w:sz w:val="24"/>
        </w:rPr>
        <w:t>　　</w:t>
      </w:r>
      <w:r>
        <w:rPr>
          <w:rFonts w:hint="eastAsia" w:ascii="宋体" w:hAnsi="宋体" w:cs="宋体"/>
          <w:sz w:val="24"/>
        </w:rPr>
        <w:t>2.2.3</w:t>
      </w:r>
      <w:r>
        <w:rPr>
          <w:rFonts w:hint="eastAsia" w:ascii="宋体" w:hAnsi="宋体" w:cs="宋体"/>
          <w:kern w:val="0"/>
          <w:sz w:val="24"/>
        </w:rPr>
        <w:t>对中标或者成交结果提出质疑的，为中标或者成交结果公告期限届满之日。</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投标供应商应当在法定质疑期内一次性提出针对同一采购程序环节的质疑。</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2.3质疑函必须按照本招标文件中《质疑函范本》要求的格式和内容进行填写。投标供应商如组成联合体参加投标，则《质疑函范本》中要求签字、盖章、加盖公章之处，联合体各方均须按要求签字、盖章、加盖公章。</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2.4对采购方式、招标文件中项目需求、投标供应商资格条件、评标方法和评标标准、资格审查结果等应当由采购人答复的质疑，请向采购人提出，由采购人负责答复。</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投标供应商需于法定期限内向采购人以书面形式提交质疑函。</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采购人质疑接收人及联系方式，见招标文件第一章。</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2.5 以下情形的质疑不予受理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2.5.1内容不符合投标供应商提出质疑应当提交质疑函和必要的证明材料。质疑函应当包括下列内容：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（一）投标供应商的姓名或者名称、地址、邮编、联系人及联系电话；</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（二）质疑项目的名称、编号；</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（三）具体、明确的质疑事项和与质疑事项相关的请求；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（四）事实依据；</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（五）必要的法律依据；</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（六）提出质疑的日期。</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投标供应商为自然人的，应当由本人签字；投标供应商为法人或者其他组织的，应当由法定代表人、主要负责人，或者其授权代表签字或者盖章，并加盖公章。</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2.5.2 超出国企府采购法定期限的质疑。</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2.5.3 未参加投标活动的投标供应商或在投标活动中自身权益未受到损害的投标供应商所提出的质疑。</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2.5.4投标供应商组成联合体参加投标，联合体中任何一方或多方未按要求签字、盖章、加盖公章的质疑。</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2.6投标供应商提出书面质疑必须有理、有据，不得捏造事实、提供虚假材料进行恶意质疑。否则，一经查实，采购人有权依据国企采购的有关规定，报请国企采购监管部门对该投标供应商进行相应的行政处罚和记录该投标供应商的失信信息。</w:t>
      </w:r>
    </w:p>
    <w:p>
      <w:pPr>
        <w:pStyle w:val="6"/>
        <w:adjustRightInd w:val="0"/>
        <w:snapToGrid w:val="0"/>
        <w:spacing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3.成交通知书</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3.l中标或成交结果确定后，采购人将向成交供应商发出成交通知书。</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3.2成交通知书将是合同的一个组成部分。对采购人和成交供应商均具有法律效力。成交通知书发出后，采购人改变成交结果的，或者成交供应商放弃成交项目的，应当依法承担法律责任。</w:t>
      </w:r>
    </w:p>
    <w:p>
      <w:pPr>
        <w:pStyle w:val="5"/>
        <w:adjustRightInd w:val="0"/>
        <w:snapToGrid w:val="0"/>
        <w:spacing w:before="0" w:after="0" w:line="360" w:lineRule="auto"/>
        <w:ind w:firstLine="482" w:firstLineChars="200"/>
        <w:rPr>
          <w:rFonts w:ascii="宋体" w:hAnsi="宋体" w:cs="宋体"/>
          <w:sz w:val="24"/>
          <w:szCs w:val="24"/>
        </w:rPr>
      </w:pPr>
      <w:bookmarkStart w:id="101" w:name="_Toc120614220"/>
      <w:bookmarkStart w:id="102" w:name="_Toc513029236"/>
      <w:bookmarkStart w:id="103" w:name="_Toc16938552"/>
      <w:bookmarkStart w:id="104" w:name="_Toc20823308"/>
      <w:r>
        <w:rPr>
          <w:rFonts w:hint="eastAsia" w:ascii="宋体" w:hAnsi="宋体" w:cs="宋体"/>
          <w:sz w:val="24"/>
          <w:szCs w:val="24"/>
        </w:rPr>
        <w:t>（七）授予合同</w:t>
      </w:r>
      <w:bookmarkEnd w:id="101"/>
    </w:p>
    <w:bookmarkEnd w:id="102"/>
    <w:bookmarkEnd w:id="103"/>
    <w:bookmarkEnd w:id="104"/>
    <w:p>
      <w:pPr>
        <w:pStyle w:val="6"/>
        <w:adjustRightInd w:val="0"/>
        <w:snapToGrid w:val="0"/>
        <w:spacing w:line="360" w:lineRule="auto"/>
        <w:ind w:firstLine="480" w:firstLineChars="200"/>
        <w:jc w:val="both"/>
        <w:rPr>
          <w:rFonts w:ascii="宋体" w:hAnsi="宋体" w:eastAsia="宋体" w:cs="宋体"/>
          <w:b/>
          <w:sz w:val="24"/>
          <w:szCs w:val="24"/>
        </w:rPr>
      </w:pPr>
      <w:bookmarkStart w:id="105" w:name="_Toc20823309"/>
      <w:bookmarkStart w:id="106" w:name="_Toc513029237"/>
      <w:bookmarkStart w:id="107" w:name="_Toc16938553"/>
      <w:r>
        <w:rPr>
          <w:rFonts w:hint="eastAsia" w:ascii="宋体" w:hAnsi="宋体" w:eastAsia="宋体" w:cs="宋体"/>
          <w:sz w:val="24"/>
          <w:szCs w:val="24"/>
        </w:rPr>
        <w:t>1.签订合同</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1</w:t>
      </w:r>
      <w:r>
        <w:rPr>
          <w:rFonts w:hint="eastAsia" w:ascii="宋体" w:hAnsi="宋体" w:cs="宋体"/>
          <w:sz w:val="24"/>
        </w:rPr>
        <w:t>.l成交供应商应当在成交通知书发出之日起三十日内，按照招标文件确定的事项与采购人签订国企采购合同。</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1.2招标文件、成交供应商的投标文件及招标过程中有关澄清、承诺文件均应作为合同附件。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1.3签订合同后，成交供应商不得将货物及其他相关服务进行转包。未经采购人同意，成交供应商也不得采用分包的形式履行合同，否则采购人有权终止合同，成交供应商的履约保证金将不予退还。国企采购合同分包履行的，成交供应商就采购项目和分包项目向采购人负责，分包单位就分包项目承担责任。转包或分包造成采购人损失的，成交供应商应承担相应赔偿责任。</w:t>
      </w:r>
    </w:p>
    <w:p>
      <w:pPr>
        <w:pStyle w:val="6"/>
        <w:adjustRightInd w:val="0"/>
        <w:snapToGrid w:val="0"/>
        <w:spacing w:line="360" w:lineRule="auto"/>
        <w:ind w:firstLine="480" w:firstLineChars="200"/>
        <w:jc w:val="both"/>
        <w:rPr>
          <w:rFonts w:ascii="宋体" w:hAnsi="宋体" w:eastAsia="宋体" w:cs="宋体"/>
          <w:b/>
          <w:sz w:val="24"/>
          <w:szCs w:val="24"/>
        </w:rPr>
      </w:pPr>
      <w:r>
        <w:rPr>
          <w:rFonts w:hint="eastAsia" w:ascii="宋体" w:hAnsi="宋体" w:eastAsia="宋体" w:cs="宋体"/>
          <w:sz w:val="24"/>
          <w:szCs w:val="24"/>
        </w:rPr>
        <w:t>2.货物和服务的追加、减少和添购。</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2.1国企采购合同履行中，采购人需追加与合同标的相同的货物和服务的，在不改变合同其他条款的前提下，可以与成交供应商协商签订补充合同，但所有补充合同的采购金额不超过原合同金额10%。</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2.2采购结束后，采购人若由于各种客观原因，必须对采购项目所牵涉的货物和服务进行适当的减少时，在双方协商一致的前提下，可以按照招标采购时的价格水平做相应的调减，并据此签订补充合同。</w:t>
      </w:r>
    </w:p>
    <w:bookmarkEnd w:id="105"/>
    <w:bookmarkEnd w:id="106"/>
    <w:bookmarkEnd w:id="107"/>
    <w:p>
      <w:pPr>
        <w:widowControl/>
        <w:jc w:val="left"/>
        <w:rPr>
          <w:rFonts w:ascii="宋体" w:hAnsi="宋体" w:cs="宋体"/>
          <w:sz w:val="36"/>
          <w:szCs w:val="36"/>
        </w:rPr>
      </w:pPr>
      <w:r>
        <w:rPr>
          <w:rFonts w:ascii="宋体" w:hAnsi="宋体" w:cs="宋体"/>
          <w:sz w:val="36"/>
          <w:szCs w:val="36"/>
        </w:rPr>
        <w:br w:type="page"/>
      </w:r>
    </w:p>
    <w:p>
      <w:pPr>
        <w:widowControl/>
        <w:adjustRightInd w:val="0"/>
        <w:snapToGrid w:val="0"/>
        <w:spacing w:line="360" w:lineRule="auto"/>
        <w:ind w:firstLine="200"/>
        <w:jc w:val="center"/>
        <w:outlineLvl w:val="0"/>
        <w:rPr>
          <w:rFonts w:ascii="宋体" w:hAnsi="宋体" w:cs="宋体"/>
          <w:b/>
          <w:sz w:val="36"/>
          <w:szCs w:val="36"/>
        </w:rPr>
      </w:pPr>
      <w:r>
        <w:rPr>
          <w:rFonts w:hint="eastAsia" w:ascii="宋体" w:hAnsi="宋体" w:cs="宋体"/>
          <w:b/>
          <w:sz w:val="36"/>
          <w:szCs w:val="36"/>
        </w:rPr>
        <w:t>第三部分  项目需求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投标供应商在制作投标文件时仔细研究项目需求说明。项目需求包括技术要求和商务要求：技术要求是指对采购标的功能和质量要求，包括性能、材料、结构、外观、安全，或者服务内容和标准等；商务要求是指取得采购标的的时间、地点、财务和服务要求，包括交付（实施）的时间（期限）和地点（范围），付款条件（进度和方法），包装和运输，售后服务，保险等。</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投标供应商不能简单照搬照抄招标文件项目需求说明中的技术、商务要求，必须作实事求是的响应。如供应商提供的货物和服务同采购人提出的项目需求说明中的技术、商务要求不同的，必须在《商务部分正负偏离表》和《技术部分正负偏离表》上明示。</w:t>
      </w:r>
    </w:p>
    <w:p>
      <w:pPr>
        <w:adjustRightInd w:val="0"/>
        <w:snapToGrid w:val="0"/>
        <w:spacing w:line="360" w:lineRule="auto"/>
        <w:ind w:firstLine="482" w:firstLineChars="200"/>
        <w:rPr>
          <w:rFonts w:ascii="宋体" w:hAnsi="宋体" w:cs="宋体"/>
          <w:b/>
          <w:sz w:val="24"/>
        </w:rPr>
      </w:pPr>
      <w:r>
        <w:rPr>
          <w:rFonts w:hint="eastAsia" w:ascii="宋体" w:hAnsi="宋体" w:cs="宋体"/>
          <w:b/>
          <w:bCs/>
          <w:sz w:val="24"/>
        </w:rPr>
        <w:t>投标供应商应考虑本工程的特殊性，按照南通港小庙洪上延航道工程和三夹沙南航道工程两个项目开展方案编制和治理工作，并通过最终验收。其内容包含：</w:t>
      </w:r>
    </w:p>
    <w:p>
      <w:pPr>
        <w:numPr>
          <w:ilvl w:val="0"/>
          <w:numId w:val="4"/>
        </w:numPr>
        <w:adjustRightInd w:val="0"/>
        <w:snapToGrid w:val="0"/>
        <w:spacing w:line="360" w:lineRule="auto"/>
        <w:ind w:firstLine="480" w:firstLineChars="200"/>
        <w:rPr>
          <w:rFonts w:ascii="宋体" w:hAnsi="宋体" w:cs="宋体"/>
          <w:sz w:val="24"/>
        </w:rPr>
      </w:pPr>
      <w:r>
        <w:rPr>
          <w:rFonts w:hint="eastAsia" w:ascii="宋体" w:hAnsi="宋体" w:cs="宋体"/>
          <w:sz w:val="24"/>
        </w:rPr>
        <w:t>对自通州湾海门交界起，至东灶港闸止的海堤（长约6.5km）外侧互花米草分布现状进行调查（调查海堤岸段位置见图1），详细圈定调查海堤外侧互花米草分布范围，编制互花米草综合治理方案。方案需对互花米草的治理、效果评估等工作进行统筹安排，确保按时完成互花米草治理方案编制。</w:t>
      </w:r>
    </w:p>
    <w:p>
      <w:pPr>
        <w:numPr>
          <w:ilvl w:val="255"/>
          <w:numId w:val="0"/>
        </w:numPr>
        <w:adjustRightInd w:val="0"/>
        <w:snapToGrid w:val="0"/>
        <w:spacing w:line="360" w:lineRule="auto"/>
        <w:jc w:val="center"/>
        <w:rPr>
          <w:rFonts w:ascii="宋体" w:hAnsi="宋体" w:cs="宋体"/>
          <w:sz w:val="24"/>
        </w:rPr>
      </w:pPr>
      <w:r>
        <w:rPr>
          <w:rFonts w:ascii="宋体" w:hAnsi="宋体" w:cs="宋体"/>
          <w:sz w:val="24"/>
        </w:rPr>
        <w:drawing>
          <wp:inline distT="0" distB="0" distL="114300" distR="114300">
            <wp:extent cx="5274310" cy="2821305"/>
            <wp:effectExtent l="0" t="0" r="8890" b="1079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7" cstate="print"/>
                    <a:stretch>
                      <a:fillRect/>
                    </a:stretch>
                  </pic:blipFill>
                  <pic:spPr>
                    <a:xfrm>
                      <a:off x="0" y="0"/>
                      <a:ext cx="5274310" cy="2821305"/>
                    </a:xfrm>
                    <a:prstGeom prst="rect">
                      <a:avLst/>
                    </a:prstGeom>
                    <a:noFill/>
                    <a:ln>
                      <a:noFill/>
                    </a:ln>
                  </pic:spPr>
                </pic:pic>
              </a:graphicData>
            </a:graphic>
          </wp:inline>
        </w:drawing>
      </w:r>
    </w:p>
    <w:p>
      <w:pPr>
        <w:pStyle w:val="15"/>
        <w:jc w:val="center"/>
      </w:pPr>
      <w:r>
        <w:t xml:space="preserve">图 </w:t>
      </w:r>
      <w:r>
        <w:fldChar w:fldCharType="begin"/>
      </w:r>
      <w:r>
        <w:instrText xml:space="preserve"> SEQ 图 \* ARABIC </w:instrText>
      </w:r>
      <w:r>
        <w:fldChar w:fldCharType="separate"/>
      </w:r>
      <w:r>
        <w:t>1</w:t>
      </w:r>
      <w:r>
        <w:fldChar w:fldCharType="end"/>
      </w:r>
      <w:r>
        <w:rPr>
          <w:rFonts w:hint="eastAsia"/>
        </w:rPr>
        <w:t xml:space="preserve"> 互花米草除治调查海堤岸段位置示意</w:t>
      </w:r>
    </w:p>
    <w:p>
      <w:pPr>
        <w:numPr>
          <w:ilvl w:val="255"/>
          <w:numId w:val="0"/>
        </w:numPr>
        <w:adjustRightInd w:val="0"/>
        <w:snapToGrid w:val="0"/>
        <w:spacing w:line="360" w:lineRule="auto"/>
        <w:jc w:val="center"/>
        <w:rPr>
          <w:rFonts w:ascii="宋体" w:hAnsi="宋体" w:cs="宋体"/>
          <w:sz w:val="24"/>
        </w:rPr>
      </w:pPr>
    </w:p>
    <w:p>
      <w:pPr>
        <w:adjustRightInd w:val="0"/>
        <w:snapToGrid w:val="0"/>
        <w:spacing w:line="360" w:lineRule="auto"/>
        <w:ind w:firstLine="480" w:firstLineChars="200"/>
        <w:rPr>
          <w:rFonts w:ascii="宋体" w:hAnsi="宋体" w:cs="宋体"/>
          <w:sz w:val="24"/>
        </w:rPr>
      </w:pPr>
      <w:r>
        <w:rPr>
          <w:rFonts w:hint="eastAsia" w:ascii="宋体" w:hAnsi="宋体" w:cs="宋体"/>
          <w:sz w:val="24"/>
        </w:rPr>
        <w:t>（一）资料收集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全面系统收集治理区内已有的互花米草分布情况、区域地质、水文、底质类型、地表水体、底栖生物、海岸冲淤现状、工程地质、遥感等方面的系列资料，以了解其演化、发展情况，为互花米草治理工程的部署和综合研究提供基础。</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（二）分布现状调查</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利用无人机航摄、实地现场调查等手段对自通州湾海门交界起，至东灶港闸止的海堤外侧互花米草分布进行调查，详细圈定互花米草分布。</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（三）方案编制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研究分析已收集资料及调查情况，根据相关要求明确互花米草治理目标，同时按照不同潮间带、不同季节下互花米草治理所需不同方式，制定具体治理措施。在治理措施确定后，一并对工程内容所需投资金额和进度计划进行估算；最后对治理结果效果评估工作进行安排和说明，以确保治理效果。设计须满足互花米草治理要求和国家、行业及地区相关规范要求，并经过专家评审通过。</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二、根据方案对互花米草进行治理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（一）基本原则</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1.根据评审通过的方案对治理的区域内互花米草进行除治。</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2.除治工作结束后，应加强除治区的后续监控和管理，预防互花米草复发、再入侵。</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（二）目标任务</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按照“防范继续扩散，力争尽快消除”的总体要求，坚持严控增量、消除存量，扎实开展防范除治工作。</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（三）主要内容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1.除治修复管护范围：除治包括自通州湾海门交界起，至东灶港闸止的海堤外侧互花米草，投标供应商自行测算计入报价。</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2.除治阶段：</w:t>
      </w:r>
    </w:p>
    <w:p>
      <w:pPr>
        <w:adjustRightInd w:val="0"/>
        <w:snapToGrid w:val="0"/>
        <w:spacing w:line="360" w:lineRule="auto"/>
        <w:ind w:firstLine="480" w:firstLineChars="200"/>
      </w:pPr>
      <w:r>
        <w:rPr>
          <w:rFonts w:hint="eastAsia" w:ascii="宋体" w:hAnsi="宋体" w:cs="宋体"/>
          <w:sz w:val="24"/>
        </w:rPr>
        <w:t>根据通过专家评审的方案开展互花米草除治，并确保除治率达到要求。</w:t>
      </w:r>
    </w:p>
    <w:p>
      <w:pPr>
        <w:adjustRightInd w:val="0"/>
        <w:snapToGrid w:val="0"/>
        <w:spacing w:line="360" w:lineRule="auto"/>
        <w:ind w:firstLine="480" w:firstLineChars="200"/>
        <w:rPr>
          <w:rStyle w:val="64"/>
        </w:rPr>
      </w:pPr>
      <w:r>
        <w:rPr>
          <w:rFonts w:hint="eastAsia" w:ascii="宋体" w:hAnsi="宋体" w:cs="宋体"/>
          <w:sz w:val="24"/>
        </w:rPr>
        <w:t>3.后继管护</w:t>
      </w:r>
    </w:p>
    <w:p>
      <w:pPr>
        <w:pStyle w:val="2"/>
        <w:ind w:firstLine="480" w:firstLineChars="200"/>
        <w:rPr>
          <w:rFonts w:eastAsia="宋体"/>
        </w:rPr>
      </w:pPr>
      <w:r>
        <w:rPr>
          <w:rFonts w:hint="eastAsia" w:ascii="宋体" w:hAnsi="宋体" w:eastAsia="宋体" w:cs="宋体"/>
          <w:sz w:val="24"/>
          <w:szCs w:val="24"/>
        </w:rPr>
        <w:t>互花米草除治施工完成后，在管护期内建立日常巡查和定期监测机制，一经发现新萌发的互花米草，应采取适当措施及时清除，做到早发现、早除治，巩固除治成效。</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4.文明施工要求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（1）供应商须定期和不定期的对施工现场进行安全检查，及时发现和消除事故隐患，确保安全施工。</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（2）供应商须对施工现场使用的安全防护用品及施工电器产品，每周进行检查一次，发现问题及时解决，并做好检查、维修记录入档。</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（3）施工现场工人须统一戴安全帽穿安全服，不得穿拖鞋，光脚、光膀子施工。</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（4）凡非本单位人员进入施工现场必须进行登记批准，严禁将小孩带入施工现场。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（5）施工期间，应当采取措施保持施工现场有条不紊，物料堆放整齐。项目所在地有关政府行政管理部门有特殊要求的，按其要求。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（6）严禁在施工现场乱搭盖、乱占道。</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（7）应遵守工程建设安全生产有关管理规定，严格按安全标准组织施工，并随时接受行业安全检查人员依法实施的监督检查，采取必要的安全防护措施，消除事故隐患。</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（8）供应商应根据采购人要求，随时清理施工现场，保持单位整洁。</w:t>
      </w:r>
    </w:p>
    <w:p>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特别提醒：由于本项目除治措施实施主要时段在台风季和农历大潮期，且海洋潮流极易造成实施区域出现土方塌陷、港汊改道等海洋地质灾害，投标供应商必须对此充分评估，并将相关防护和修复措施的费用考虑在总报价中，由此产生的一切抢险抢工以及返工等损失采购人均不负责，价格不调整。</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5.档案管理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（1）档案内容：主要包括除治方案，除治相关材料（包括合同、除治记录、进度报表、检查验收、工作总结等），以及相关图片或影像资料等。</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（2）档案管理：按照不同的内容，分类归集立卷，根据除治进度，及时更新归档。跨年度的档案，放在所针对的最新的年度归档。</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三、付款方式：</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（一）南通港小庙洪上延航道工程</w:t>
      </w:r>
    </w:p>
    <w:p>
      <w:pPr>
        <w:adjustRightInd w:val="0"/>
        <w:snapToGrid w:val="0"/>
        <w:spacing w:line="360" w:lineRule="auto"/>
        <w:ind w:firstLine="480" w:firstLineChars="200"/>
        <w:rPr>
          <w:rFonts w:ascii="宋体" w:hAnsi="宋体" w:cs="宋体"/>
          <w:sz w:val="24"/>
        </w:rPr>
      </w:pPr>
      <w:r>
        <w:rPr>
          <w:rFonts w:ascii="宋体" w:hAnsi="宋体" w:cs="宋体"/>
          <w:sz w:val="24"/>
        </w:rPr>
        <w:t>1.</w:t>
      </w:r>
      <w:r>
        <w:rPr>
          <w:rFonts w:hint="eastAsia" w:ascii="宋体" w:hAnsi="宋体" w:cs="宋体"/>
          <w:sz w:val="24"/>
        </w:rPr>
        <w:t>方案编制完成并通过专家评审后，支付合同总价的15%；</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2024年</w:t>
      </w:r>
      <w:r>
        <w:rPr>
          <w:rFonts w:hint="eastAsia" w:ascii="宋体" w:hAnsi="宋体" w:cs="宋体"/>
          <w:sz w:val="24"/>
        </w:rPr>
        <w:t>整治工程全部完成并验收合格后，支付至合同总价的</w:t>
      </w:r>
      <w:r>
        <w:rPr>
          <w:rFonts w:ascii="宋体" w:hAnsi="宋体" w:cs="宋体"/>
          <w:sz w:val="24"/>
        </w:rPr>
        <w:t>6</w:t>
      </w:r>
      <w:r>
        <w:rPr>
          <w:rFonts w:hint="eastAsia" w:ascii="宋体" w:hAnsi="宋体" w:cs="宋体"/>
          <w:sz w:val="24"/>
        </w:rPr>
        <w:t>0%；</w:t>
      </w:r>
    </w:p>
    <w:p>
      <w:pPr>
        <w:adjustRightInd w:val="0"/>
        <w:snapToGrid w:val="0"/>
        <w:spacing w:line="360" w:lineRule="auto"/>
        <w:ind w:firstLine="480" w:firstLineChars="200"/>
        <w:rPr>
          <w:rFonts w:ascii="宋体" w:hAnsi="宋体" w:cs="宋体"/>
          <w:sz w:val="24"/>
        </w:rPr>
      </w:pPr>
      <w:r>
        <w:rPr>
          <w:rFonts w:ascii="宋体" w:hAnsi="宋体" w:cs="宋体"/>
          <w:sz w:val="24"/>
        </w:rPr>
        <w:t>3</w:t>
      </w:r>
      <w:r>
        <w:rPr>
          <w:rFonts w:hint="eastAsia" w:ascii="宋体" w:hAnsi="宋体" w:cs="宋体"/>
          <w:sz w:val="24"/>
        </w:rPr>
        <w:t>.第一年</w:t>
      </w:r>
      <w:r>
        <w:rPr>
          <w:rFonts w:hint="eastAsia" w:ascii="宋体" w:hAnsi="宋体" w:cs="宋体"/>
          <w:sz w:val="24"/>
          <w:lang w:val="en-US" w:eastAsia="zh-CN"/>
        </w:rPr>
        <w:t>管护</w:t>
      </w:r>
      <w:r>
        <w:rPr>
          <w:rFonts w:hint="eastAsia" w:ascii="宋体" w:hAnsi="宋体" w:cs="宋体"/>
          <w:sz w:val="24"/>
        </w:rPr>
        <w:t>期末，经验收合格后付至合同总价的</w:t>
      </w:r>
      <w:r>
        <w:rPr>
          <w:rFonts w:ascii="宋体" w:hAnsi="宋体" w:cs="宋体"/>
          <w:sz w:val="24"/>
        </w:rPr>
        <w:t>80</w:t>
      </w:r>
      <w:r>
        <w:rPr>
          <w:rFonts w:hint="eastAsia" w:ascii="宋体" w:hAnsi="宋体" w:cs="宋体"/>
          <w:sz w:val="24"/>
        </w:rPr>
        <w:t>%，待</w:t>
      </w:r>
      <w:r>
        <w:rPr>
          <w:rFonts w:hint="eastAsia" w:ascii="宋体" w:hAnsi="宋体" w:cs="宋体"/>
          <w:sz w:val="24"/>
          <w:lang w:val="en-US" w:eastAsia="zh-CN"/>
        </w:rPr>
        <w:t>两年管护</w:t>
      </w:r>
      <w:r>
        <w:rPr>
          <w:rFonts w:hint="eastAsia" w:ascii="宋体" w:hAnsi="宋体" w:cs="宋体"/>
          <w:sz w:val="24"/>
        </w:rPr>
        <w:t>期结束并通过项目最终竣工验收，结清余款。</w:t>
      </w:r>
    </w:p>
    <w:p>
      <w:pPr>
        <w:adjustRightInd w:val="0"/>
        <w:snapToGrid w:val="0"/>
        <w:spacing w:line="360" w:lineRule="auto"/>
        <w:ind w:firstLine="480" w:firstLineChars="200"/>
        <w:rPr>
          <w:rFonts w:ascii="宋体" w:hAnsi="宋体" w:cs="宋体"/>
          <w:sz w:val="24"/>
        </w:rPr>
      </w:pPr>
      <w:r>
        <w:rPr>
          <w:rFonts w:ascii="宋体" w:hAnsi="宋体" w:cs="宋体"/>
          <w:sz w:val="24"/>
        </w:rPr>
        <w:t xml:space="preserve"> </w:t>
      </w:r>
      <w:r>
        <w:rPr>
          <w:rFonts w:hint="eastAsia" w:ascii="宋体" w:hAnsi="宋体" w:cs="宋体"/>
          <w:sz w:val="24"/>
        </w:rPr>
        <w:t>（二）南通港三夹沙南航道工程</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1.方案编制完成并通过专家评审后，支付合同总价的15%；</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2024年</w:t>
      </w:r>
      <w:r>
        <w:rPr>
          <w:rFonts w:hint="eastAsia" w:ascii="宋体" w:hAnsi="宋体" w:cs="宋体"/>
          <w:sz w:val="24"/>
        </w:rPr>
        <w:t>整治工程全部完成并验收合格后，支付至合同总价的60%；</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3.第一年</w:t>
      </w:r>
      <w:r>
        <w:rPr>
          <w:rFonts w:hint="eastAsia" w:ascii="宋体" w:hAnsi="宋体" w:cs="宋体"/>
          <w:sz w:val="24"/>
          <w:lang w:val="en-US" w:eastAsia="zh-CN"/>
        </w:rPr>
        <w:t>管护</w:t>
      </w:r>
      <w:r>
        <w:rPr>
          <w:rFonts w:hint="eastAsia" w:ascii="宋体" w:hAnsi="宋体" w:cs="宋体"/>
          <w:sz w:val="24"/>
        </w:rPr>
        <w:t>期末，经验收合格后付至合同总价的</w:t>
      </w:r>
      <w:r>
        <w:rPr>
          <w:rFonts w:ascii="宋体" w:hAnsi="宋体" w:cs="宋体"/>
          <w:sz w:val="24"/>
        </w:rPr>
        <w:t>8</w:t>
      </w:r>
      <w:r>
        <w:rPr>
          <w:rFonts w:hint="eastAsia" w:ascii="宋体" w:hAnsi="宋体" w:cs="宋体"/>
          <w:sz w:val="24"/>
        </w:rPr>
        <w:t>0%，待</w:t>
      </w:r>
      <w:r>
        <w:rPr>
          <w:rFonts w:hint="eastAsia" w:ascii="宋体" w:hAnsi="宋体" w:cs="宋体"/>
          <w:sz w:val="24"/>
          <w:lang w:val="en-US" w:eastAsia="zh-CN"/>
        </w:rPr>
        <w:t>两年管护</w:t>
      </w:r>
      <w:r>
        <w:rPr>
          <w:rFonts w:hint="eastAsia" w:ascii="宋体" w:hAnsi="宋体" w:cs="宋体"/>
          <w:sz w:val="24"/>
        </w:rPr>
        <w:t>期结束并通过项目最终竣工验收，结清余款。</w:t>
      </w:r>
      <w:r>
        <w:rPr>
          <w:rFonts w:ascii="宋体" w:hAnsi="宋体" w:cs="宋体"/>
          <w:sz w:val="24"/>
        </w:rPr>
        <w:t xml:space="preserve">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注：若为联合体形式中标，支付给联合体牵头单位。</w:t>
      </w:r>
      <w:r>
        <w:rPr>
          <w:rFonts w:ascii="宋体" w:hAnsi="宋体" w:cs="宋体"/>
          <w:sz w:val="24"/>
        </w:rPr>
        <w:t xml:space="preserve">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四、验收标准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1.方案质量要求：编制成果需通过主管部门审批。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施工验收要求：应满足江苏省林业局办公室关于印发的《江苏省互花米草除治技术手册（第一版）》的验收要求（采购人要求高于该标准的，以要求高的执行），以第三方效果评估结论为依据，以主管部门组织验收的结果为最终标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采购人派人员进行定期或不定期现场抽检监督实施情况，投标供应商必须接受采购人或其授权的代表或主管部门人员的技术指导和质量监督，对监督人员提出质量问题要及时整改，如未及时整改，采购人有权终止合同。</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3.两年管护服务要求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当年实际除杀率必须在90%（含90%）以上，次年对残存和新生草体连续除杀，同样达90%（含90%）以上，并持续保持至2026年12月31日。</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五、合同履行期限：必须于2024年12月31日之前完成治理任务，两年管护期至2026年12月31日截止。</w:t>
      </w:r>
    </w:p>
    <w:p>
      <w:pPr>
        <w:adjustRightInd w:val="0"/>
        <w:snapToGrid w:val="0"/>
        <w:spacing w:line="360" w:lineRule="auto"/>
        <w:ind w:firstLine="480" w:firstLineChars="200"/>
        <w:rPr>
          <w:rFonts w:ascii="宋体" w:hAnsi="宋体"/>
          <w:kern w:val="44"/>
          <w:sz w:val="24"/>
        </w:rPr>
      </w:pPr>
      <w:r>
        <w:rPr>
          <w:rFonts w:hint="eastAsia" w:ascii="宋体" w:hAnsi="宋体"/>
          <w:kern w:val="44"/>
          <w:sz w:val="24"/>
        </w:rPr>
        <w:t>六、履约保证金</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本项目成交后的履约保证金为项目成交价的5%，成交供应商的履约保证金须在成交通知书发出之日起至合同签订前汇入采购人账户（应当以支票、汇票或者金融机构、担保机构出具的保函等非现金形式提交），成交供应商凭成交通知书与采购人签订合同。超期或未有协商，则视为自动放弃成交资格。</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2.成交供应商全部履约合同义务，经采购人验收合格无质量、进度等问题的，采购人在验收合格后一次性退还履约保证金；</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3.发生以下情况的，履约保证金不予退还或部分退还：</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a.签订合同后，成交供应商不履行合同义务的，采购人有权全额扣除履约保证金，全额不予退还，同时采购人亦有权终止合同，成交供应商还须承担相应的法律赔偿责任。</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b.成交供应商在履约过程中发生违约行为，给采购人造成损失的，采购人有权在成交供应商缴纳的履约保证金中予以扣款，以弥补采购人经济损失，不足的部分成交供应商另外补齐。</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4.根据《南通市财政局关于进一步加大政府采购支持中小企业力度的通知》（通财购〔2022〕23号）精神，对政府采购信用档案中无不良记录的中小企业免收履约保证金。确需收取履约保证金的，按照《关于在政府采购领域开展履约保证保险网上办理试行工作的通知》（通财购〔2022〕8号），直接在网上办理履约保证保险替代实质性的履约保证金缴纳，进一步减轻企业现金流压力。</w:t>
      </w:r>
    </w:p>
    <w:bookmarkEnd w:id="0"/>
    <w:bookmarkEnd w:id="1"/>
    <w:bookmarkEnd w:id="2"/>
    <w:p>
      <w:pPr>
        <w:adjustRightInd w:val="0"/>
        <w:snapToGrid w:val="0"/>
        <w:spacing w:line="360" w:lineRule="auto"/>
        <w:ind w:firstLine="200"/>
        <w:jc w:val="center"/>
        <w:outlineLvl w:val="0"/>
        <w:rPr>
          <w:rFonts w:ascii="宋体" w:hAnsi="宋体" w:cs="宋体"/>
          <w:b/>
          <w:sz w:val="36"/>
          <w:szCs w:val="36"/>
        </w:rPr>
      </w:pPr>
      <w:r>
        <w:rPr>
          <w:rFonts w:hint="eastAsia" w:ascii="宋体" w:hAnsi="宋体" w:cs="宋体"/>
          <w:b/>
          <w:sz w:val="36"/>
          <w:szCs w:val="36"/>
        </w:rPr>
        <w:t>第四部分  开标和评标</w:t>
      </w:r>
    </w:p>
    <w:p>
      <w:pPr>
        <w:pStyle w:val="103"/>
        <w:snapToGrid w:val="0"/>
        <w:spacing w:before="0" w:after="0"/>
        <w:ind w:left="0" w:right="0" w:firstLine="482" w:firstLineChars="200"/>
        <w:jc w:val="left"/>
        <w:rPr>
          <w:rFonts w:ascii="宋体" w:hAnsi="宋体" w:cs="宋体"/>
          <w:b/>
          <w:kern w:val="2"/>
        </w:rPr>
      </w:pPr>
      <w:r>
        <w:rPr>
          <w:rFonts w:hint="eastAsia" w:ascii="宋体" w:hAnsi="宋体" w:cs="宋体"/>
          <w:b/>
          <w:kern w:val="2"/>
        </w:rPr>
        <w:t>一、开标</w:t>
      </w:r>
    </w:p>
    <w:p>
      <w:pPr>
        <w:tabs>
          <w:tab w:val="left" w:pos="3585"/>
        </w:tabs>
        <w:adjustRightInd w:val="0"/>
        <w:snapToGrid w:val="0"/>
        <w:spacing w:line="360" w:lineRule="auto"/>
        <w:ind w:firstLine="460" w:firstLineChars="192"/>
        <w:rPr>
          <w:rFonts w:ascii="宋体" w:hAnsi="宋体" w:cs="宋体"/>
          <w:sz w:val="24"/>
        </w:rPr>
      </w:pPr>
      <w:r>
        <w:rPr>
          <w:rFonts w:ascii="宋体" w:hAnsi="宋体"/>
          <w:sz w:val="24"/>
        </w:rPr>
        <w:t>采购代理机构将在</w:t>
      </w:r>
      <w:r>
        <w:rPr>
          <w:rFonts w:hint="eastAsia" w:ascii="宋体" w:hAnsi="宋体"/>
          <w:sz w:val="24"/>
        </w:rPr>
        <w:t>投标邀请</w:t>
      </w:r>
      <w:r>
        <w:rPr>
          <w:rFonts w:ascii="宋体" w:hAnsi="宋体"/>
          <w:sz w:val="24"/>
        </w:rPr>
        <w:t>中规定的时间和地点组织公开开标</w:t>
      </w:r>
      <w:r>
        <w:rPr>
          <w:rFonts w:hint="eastAsia" w:ascii="宋体" w:hAnsi="宋体"/>
          <w:sz w:val="24"/>
        </w:rPr>
        <w:t>，</w:t>
      </w:r>
      <w:r>
        <w:rPr>
          <w:rFonts w:ascii="宋体" w:hAnsi="宋体"/>
          <w:sz w:val="24"/>
        </w:rPr>
        <w:t>并邀请所有</w:t>
      </w:r>
      <w:r>
        <w:rPr>
          <w:rFonts w:hint="eastAsia" w:ascii="宋体" w:hAnsi="宋体"/>
          <w:sz w:val="24"/>
        </w:rPr>
        <w:t>投标供应商</w:t>
      </w:r>
      <w:r>
        <w:rPr>
          <w:rFonts w:ascii="宋体" w:hAnsi="宋体"/>
          <w:sz w:val="24"/>
        </w:rPr>
        <w:t>的</w:t>
      </w:r>
      <w:r>
        <w:rPr>
          <w:rFonts w:hint="eastAsia" w:ascii="宋体" w:hAnsi="宋体"/>
          <w:sz w:val="24"/>
        </w:rPr>
        <w:t>法定代表人或其委托代理人准时参加</w:t>
      </w:r>
      <w:r>
        <w:rPr>
          <w:rFonts w:ascii="宋体" w:hAnsi="宋体"/>
          <w:sz w:val="24"/>
        </w:rPr>
        <w:t>。</w:t>
      </w:r>
    </w:p>
    <w:p>
      <w:pPr>
        <w:pStyle w:val="103"/>
        <w:snapToGrid w:val="0"/>
        <w:spacing w:before="0" w:after="0"/>
        <w:ind w:left="0" w:right="0" w:firstLine="482" w:firstLineChars="200"/>
        <w:jc w:val="left"/>
        <w:rPr>
          <w:rFonts w:ascii="宋体" w:hAnsi="宋体" w:cs="宋体"/>
          <w:b/>
          <w:kern w:val="2"/>
        </w:rPr>
      </w:pPr>
      <w:r>
        <w:rPr>
          <w:rFonts w:hint="eastAsia" w:ascii="宋体" w:hAnsi="宋体" w:cs="宋体"/>
          <w:b/>
          <w:kern w:val="2"/>
        </w:rPr>
        <w:t>二、评标流程和评标标准</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采用综合评分法，分资格审查、商务技术标、价格标三部分评审，总分值为100分，加分和减分因素除外。</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首先由采购人或授权评标委员会对投标供应商资格进行审查，然后评标委员会对符合资格的投标供应商的投标文件进行符合性审查，最后评标委员会对符合性审查合格的投标文件商务、技术部分进行评估，综合比较与评价。待商务技术标评审结束后，进行价格标的开启、评审。投标供应商商务、技术部分和价格部分的合计分值，为该投标供应商的评标总得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评标结果按评审后得分由高到低顺序排列。得分相同的，按投标报价由低到高顺序排列。得分且投标报价相同的由评标委员会投票决定名次。投标文件满足招标文件全部实质性要求，且按照评审因素的量化指标评审得分前三名的投标供应商为成交候选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评委在认真审阅投标文件的基础上，根据各投标文件的响应程度独立评判，不得统一打分。</w:t>
      </w:r>
    </w:p>
    <w:p>
      <w:pPr>
        <w:adjustRightInd w:val="0"/>
        <w:snapToGrid w:val="0"/>
        <w:spacing w:line="360" w:lineRule="auto"/>
        <w:ind w:firstLine="354" w:firstLineChars="147"/>
        <w:rPr>
          <w:rFonts w:ascii="宋体" w:hAnsi="宋体" w:cs="宋体"/>
          <w:b/>
          <w:sz w:val="24"/>
        </w:rPr>
      </w:pPr>
      <w:r>
        <w:rPr>
          <w:rFonts w:hint="eastAsia" w:ascii="宋体" w:hAnsi="宋体" w:cs="宋体"/>
          <w:b/>
          <w:sz w:val="24"/>
        </w:rPr>
        <w:t>（一）采购人（代表）或授权评标委员会对投标供应商资格进行审查。</w:t>
      </w:r>
    </w:p>
    <w:p>
      <w:pPr>
        <w:pStyle w:val="107"/>
        <w:adjustRightInd w:val="0"/>
        <w:snapToGrid w:val="0"/>
        <w:spacing w:line="360" w:lineRule="auto"/>
        <w:ind w:firstLine="494"/>
        <w:rPr>
          <w:rFonts w:ascii="宋体" w:eastAsia="宋体" w:cs="宋体"/>
          <w:sz w:val="24"/>
          <w:szCs w:val="24"/>
        </w:rPr>
      </w:pPr>
      <w:r>
        <w:rPr>
          <w:rFonts w:hint="eastAsia" w:ascii="宋体" w:eastAsia="宋体" w:cs="宋体"/>
          <w:sz w:val="24"/>
          <w:szCs w:val="24"/>
        </w:rPr>
        <w:t>投标供应商资格不合格的，其投标文件判定为无效投标文件。</w:t>
      </w:r>
    </w:p>
    <w:p>
      <w:pPr>
        <w:adjustRightInd w:val="0"/>
        <w:snapToGrid w:val="0"/>
        <w:spacing w:line="360" w:lineRule="auto"/>
        <w:ind w:firstLine="354" w:firstLineChars="147"/>
        <w:jc w:val="left"/>
        <w:rPr>
          <w:rFonts w:ascii="宋体" w:hAnsi="宋体" w:cs="宋体"/>
          <w:b/>
          <w:sz w:val="24"/>
        </w:rPr>
      </w:pPr>
      <w:r>
        <w:rPr>
          <w:rFonts w:hint="eastAsia" w:ascii="宋体" w:hAnsi="宋体" w:cs="宋体"/>
          <w:b/>
          <w:sz w:val="24"/>
        </w:rPr>
        <w:t>（二）评标委员会对符合资格投标供应商的投标文件进行符合性审查。</w:t>
      </w:r>
    </w:p>
    <w:p>
      <w:pPr>
        <w:pStyle w:val="107"/>
        <w:adjustRightInd w:val="0"/>
        <w:snapToGrid w:val="0"/>
        <w:spacing w:line="360" w:lineRule="auto"/>
        <w:ind w:firstLine="494"/>
        <w:rPr>
          <w:rFonts w:ascii="宋体" w:eastAsia="宋体" w:cs="宋体"/>
          <w:sz w:val="24"/>
          <w:szCs w:val="24"/>
        </w:rPr>
      </w:pPr>
      <w:r>
        <w:rPr>
          <w:rFonts w:hint="eastAsia" w:ascii="宋体" w:eastAsia="宋体" w:cs="宋体"/>
          <w:sz w:val="24"/>
          <w:szCs w:val="24"/>
        </w:rPr>
        <w:t xml:space="preserve">未通过符合性审查的投标文件，将被判为不满足招标文件实质性要求。 </w:t>
      </w:r>
    </w:p>
    <w:p>
      <w:pPr>
        <w:tabs>
          <w:tab w:val="left" w:pos="900"/>
        </w:tabs>
        <w:adjustRightInd w:val="0"/>
        <w:snapToGrid w:val="0"/>
        <w:spacing w:line="360" w:lineRule="auto"/>
        <w:ind w:firstLine="479" w:firstLineChars="199"/>
        <w:rPr>
          <w:rFonts w:ascii="宋体" w:hAnsi="宋体" w:cs="宋体"/>
          <w:bCs/>
          <w:sz w:val="24"/>
        </w:rPr>
      </w:pPr>
      <w:r>
        <w:rPr>
          <w:rFonts w:hint="eastAsia" w:ascii="宋体" w:hAnsi="宋体" w:cs="宋体"/>
          <w:b/>
          <w:sz w:val="24"/>
        </w:rPr>
        <w:t>（</w:t>
      </w:r>
      <w:r>
        <w:rPr>
          <w:rFonts w:hint="eastAsia" w:ascii="宋体" w:hAnsi="宋体" w:cs="宋体"/>
          <w:b/>
          <w:sz w:val="24"/>
          <w:lang w:val="zh-CN"/>
        </w:rPr>
        <w:t>三</w:t>
      </w:r>
      <w:r>
        <w:rPr>
          <w:rFonts w:hint="eastAsia" w:ascii="宋体" w:hAnsi="宋体" w:cs="宋体"/>
          <w:b/>
          <w:sz w:val="24"/>
        </w:rPr>
        <w:t>）</w:t>
      </w:r>
      <w:r>
        <w:rPr>
          <w:rFonts w:hint="eastAsia" w:ascii="宋体" w:hAnsi="宋体" w:cs="宋体"/>
          <w:b/>
          <w:sz w:val="24"/>
          <w:lang w:val="zh-CN"/>
        </w:rPr>
        <w:t>商务技术分</w:t>
      </w:r>
      <w:r>
        <w:rPr>
          <w:rFonts w:hint="eastAsia" w:ascii="宋体" w:hAnsi="宋体" w:cs="宋体"/>
          <w:sz w:val="24"/>
          <w:lang w:val="zh-CN"/>
        </w:rPr>
        <w:t>：</w:t>
      </w:r>
      <w:r>
        <w:rPr>
          <w:rFonts w:hint="eastAsia" w:ascii="宋体" w:hAnsi="宋体" w:cs="宋体"/>
          <w:b/>
          <w:bCs/>
          <w:sz w:val="24"/>
        </w:rPr>
        <w:t>85</w:t>
      </w:r>
      <w:r>
        <w:rPr>
          <w:rFonts w:hint="eastAsia" w:ascii="宋体" w:hAnsi="宋体" w:cs="宋体"/>
          <w:b/>
          <w:bCs/>
          <w:sz w:val="24"/>
          <w:lang w:val="zh-CN"/>
        </w:rPr>
        <w:t>分</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各投标供应商得分为评委会成员评分的算术平均分，分值保留小数点后两位。</w:t>
      </w:r>
    </w:p>
    <w:tbl>
      <w:tblPr>
        <w:tblStyle w:val="5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88"/>
        <w:gridCol w:w="1285"/>
        <w:gridCol w:w="677"/>
        <w:gridCol w:w="5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61" w:type="pct"/>
            <w:vAlign w:val="center"/>
          </w:tcPr>
          <w:p>
            <w:pPr>
              <w:adjustRightInd w:val="0"/>
              <w:snapToGrid w:val="0"/>
              <w:jc w:val="center"/>
              <w:rPr>
                <w:rFonts w:ascii="宋体" w:hAnsi="宋体"/>
                <w:b/>
                <w:bCs/>
                <w:sz w:val="24"/>
                <w:lang w:val="zh-CN"/>
              </w:rPr>
            </w:pPr>
            <w:r>
              <w:rPr>
                <w:rFonts w:hint="eastAsia" w:ascii="宋体" w:hAnsi="宋体"/>
                <w:b/>
                <w:bCs/>
                <w:sz w:val="24"/>
                <w:lang w:val="zh-CN"/>
              </w:rPr>
              <w:t>序号</w:t>
            </w:r>
          </w:p>
        </w:tc>
        <w:tc>
          <w:tcPr>
            <w:tcW w:w="1067" w:type="pct"/>
            <w:gridSpan w:val="2"/>
            <w:vAlign w:val="center"/>
          </w:tcPr>
          <w:p>
            <w:pPr>
              <w:adjustRightInd w:val="0"/>
              <w:snapToGrid w:val="0"/>
              <w:jc w:val="center"/>
              <w:rPr>
                <w:rFonts w:ascii="宋体" w:hAnsi="宋体"/>
                <w:b/>
                <w:bCs/>
                <w:sz w:val="24"/>
                <w:lang w:val="zh-CN"/>
              </w:rPr>
            </w:pPr>
            <w:r>
              <w:rPr>
                <w:rFonts w:hint="eastAsia" w:ascii="宋体" w:hAnsi="宋体"/>
                <w:b/>
                <w:bCs/>
                <w:sz w:val="24"/>
                <w:lang w:val="zh-CN"/>
              </w:rPr>
              <w:t>评分点名称</w:t>
            </w:r>
          </w:p>
        </w:tc>
        <w:tc>
          <w:tcPr>
            <w:tcW w:w="366" w:type="pct"/>
            <w:vAlign w:val="center"/>
          </w:tcPr>
          <w:p>
            <w:pPr>
              <w:adjustRightInd w:val="0"/>
              <w:snapToGrid w:val="0"/>
              <w:jc w:val="center"/>
              <w:rPr>
                <w:rFonts w:ascii="宋体" w:hAnsi="宋体"/>
                <w:b/>
                <w:bCs/>
                <w:sz w:val="24"/>
                <w:lang w:val="zh-CN"/>
              </w:rPr>
            </w:pPr>
            <w:r>
              <w:rPr>
                <w:rFonts w:hint="eastAsia" w:ascii="宋体" w:hAnsi="宋体"/>
                <w:b/>
                <w:bCs/>
                <w:sz w:val="24"/>
                <w:lang w:val="zh-CN"/>
              </w:rPr>
              <w:t>分值</w:t>
            </w:r>
          </w:p>
        </w:tc>
        <w:tc>
          <w:tcPr>
            <w:tcW w:w="3204" w:type="pct"/>
            <w:vAlign w:val="center"/>
          </w:tcPr>
          <w:p>
            <w:pPr>
              <w:adjustRightInd w:val="0"/>
              <w:snapToGrid w:val="0"/>
              <w:jc w:val="center"/>
              <w:rPr>
                <w:rFonts w:ascii="宋体" w:hAnsi="宋体"/>
                <w:b/>
                <w:bCs/>
                <w:sz w:val="24"/>
                <w:lang w:val="zh-CN"/>
              </w:rPr>
            </w:pPr>
            <w:r>
              <w:rPr>
                <w:rFonts w:hint="eastAsia" w:ascii="宋体" w:hAnsi="宋体"/>
                <w:b/>
                <w:bCs/>
                <w:sz w:val="24"/>
                <w:lang w:val="zh-CN"/>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adjustRightInd w:val="0"/>
              <w:snapToGrid w:val="0"/>
              <w:jc w:val="center"/>
              <w:rPr>
                <w:rFonts w:asciiTheme="minorEastAsia" w:hAnsiTheme="minorEastAsia" w:eastAsiaTheme="minorEastAsia"/>
                <w:bCs/>
                <w:szCs w:val="21"/>
                <w:lang w:val="zh-CN"/>
              </w:rPr>
            </w:pPr>
            <w:r>
              <w:rPr>
                <w:rFonts w:cs="宋体" w:asciiTheme="minorEastAsia" w:hAnsiTheme="minorEastAsia" w:eastAsiaTheme="minorEastAsia"/>
                <w:bCs/>
                <w:szCs w:val="21"/>
                <w:lang w:val="zh-CN"/>
              </w:rPr>
              <w:t>1</w:t>
            </w:r>
          </w:p>
        </w:tc>
        <w:tc>
          <w:tcPr>
            <w:tcW w:w="372" w:type="pct"/>
            <w:vAlign w:val="center"/>
          </w:tcPr>
          <w:p>
            <w:pPr>
              <w:adjustRightInd w:val="0"/>
              <w:snapToGrid w:val="0"/>
              <w:jc w:val="center"/>
              <w:rPr>
                <w:rFonts w:asciiTheme="minorEastAsia" w:hAnsiTheme="minorEastAsia" w:eastAsiaTheme="minorEastAsia"/>
                <w:szCs w:val="21"/>
                <w:lang w:val="zh-CN"/>
              </w:rPr>
            </w:pPr>
            <w:r>
              <w:rPr>
                <w:rFonts w:hint="eastAsia" w:cs="宋体" w:asciiTheme="minorEastAsia" w:hAnsiTheme="minorEastAsia" w:eastAsiaTheme="minorEastAsia"/>
                <w:szCs w:val="21"/>
              </w:rPr>
              <w:t>技术部分</w:t>
            </w:r>
          </w:p>
        </w:tc>
        <w:tc>
          <w:tcPr>
            <w:tcW w:w="694" w:type="pct"/>
            <w:vAlign w:val="center"/>
          </w:tcPr>
          <w:p>
            <w:pPr>
              <w:adjustRightInd w:val="0"/>
              <w:snapToGrid w:val="0"/>
              <w:spacing w:line="32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实施方案</w:t>
            </w:r>
          </w:p>
        </w:tc>
        <w:tc>
          <w:tcPr>
            <w:tcW w:w="366" w:type="pct"/>
            <w:vAlign w:val="center"/>
          </w:tcPr>
          <w:p>
            <w:pPr>
              <w:adjustRightInd w:val="0"/>
              <w:snapToGrid w:val="0"/>
              <w:spacing w:line="32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62</w:t>
            </w:r>
          </w:p>
        </w:tc>
        <w:tc>
          <w:tcPr>
            <w:tcW w:w="3204" w:type="pct"/>
            <w:vAlign w:val="center"/>
          </w:tcPr>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1.工程区域现状调查（16分）：包含项目实施区域范围、位置、地质地貌、滩面高程坡度、潮汐情况等。由评委依据供应商方案中①范围、位置②地质地貌③滩面高程坡度④潮汐情况，计4处得分点，每个得分点所列详实情况进行打分，详实、清晰、准确的得4分，较详实、较清晰、较准确的得2分，不近详实、一般清晰、准确度较低的得1分，与本项目无关、不贴合实际或未提供的则不得分。本条最高得16分。</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2.互花米草治理方法（16分）：针对工程区域特点分析本项目拟选用的互花米草治理方法。由评委依据供应商方案中①互花米草治理方法确定原则②互花米草治理方法比选③互花米草治理方法确定的合理性④互花米草治理平面，计4处得分点，每个得分点所列详实情况进行打分，详实、清晰、准确的得4分，较详实、较清晰、较准确的得2分，不近详实、一般清晰、准确度较低的得1分，与本项目无关、不贴合实际或未提供的则不得分。本条最高得16分。</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3.施工组织设计方案（20分）：采用互花米草治理方法需提供详细的施工组织设计方案。由评委依据供应商方案中①治理方案</w:t>
            </w:r>
            <w:r>
              <w:rPr>
                <w:szCs w:val="21"/>
              </w:rPr>
              <w:t>②平面布置图</w:t>
            </w:r>
            <w:r>
              <w:rPr>
                <w:rFonts w:hint="eastAsia" w:cs="宋体" w:asciiTheme="minorEastAsia" w:hAnsiTheme="minorEastAsia" w:eastAsiaTheme="minorEastAsia"/>
                <w:szCs w:val="21"/>
              </w:rPr>
              <w:t>③施工机械组织④施工进度计划</w:t>
            </w:r>
            <w:r>
              <w:rPr>
                <w:rFonts w:hint="eastAsia" w:cs="宋体"/>
                <w:szCs w:val="21"/>
              </w:rPr>
              <w:t>⑤</w:t>
            </w:r>
            <w:r>
              <w:rPr>
                <w:szCs w:val="21"/>
              </w:rPr>
              <w:t>安全施工</w:t>
            </w:r>
            <w:r>
              <w:rPr>
                <w:rFonts w:hint="eastAsia"/>
                <w:szCs w:val="21"/>
              </w:rPr>
              <w:t>及环境保护</w:t>
            </w:r>
            <w:r>
              <w:rPr>
                <w:szCs w:val="21"/>
              </w:rPr>
              <w:t>措施</w:t>
            </w:r>
            <w:r>
              <w:rPr>
                <w:rFonts w:hint="eastAsia" w:cs="宋体" w:asciiTheme="minorEastAsia" w:hAnsiTheme="minorEastAsia" w:eastAsiaTheme="minorEastAsia"/>
                <w:szCs w:val="21"/>
              </w:rPr>
              <w:t>，计5个得分点，每个得分点所列详实情况进行打分，详实、贴合实际、针对性强的得4分，较详实、较贴合实际、针对性较强的得2分，不近详实、一般贴合实际、针对性较弱的得1分，与本项目无关或未提供的则不得分。本条最高得20分。</w:t>
            </w:r>
          </w:p>
          <w:p>
            <w:pPr>
              <w:adjustRightInd w:val="0"/>
              <w:snapToGrid w:val="0"/>
              <w:jc w:val="left"/>
              <w:rPr>
                <w:rFonts w:cs="宋体" w:asciiTheme="minorEastAsia" w:hAnsiTheme="minorEastAsia" w:eastAsiaTheme="minorEastAsia"/>
                <w:sz w:val="24"/>
              </w:rPr>
            </w:pPr>
            <w:r>
              <w:rPr>
                <w:rFonts w:hint="eastAsia" w:cs="宋体" w:asciiTheme="minorEastAsia" w:hAnsiTheme="minorEastAsia" w:eastAsiaTheme="minorEastAsia"/>
                <w:szCs w:val="21"/>
              </w:rPr>
              <w:t>4.后期管护方案（10分）：针对第一年实际除杀率必须在90%（含90%）以上，第二年对残存和新生草体连续除杀，同样达90%（含90%）以上质量管控目标，制定切实可行的巡检、除治的管护方案。由评委依据供应商提供的后期除治巡检管护方案是否符合本项目的实际情况进行打分，方案清晰、明确、针对性强的得10分，方案较清晰、较明确、针对性较强的得6分，方案一般清晰、一般明确、针对性较弱的得3分，与本项目无关或未提供的则不得分。本条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361" w:type="pct"/>
            <w:vAlign w:val="center"/>
          </w:tcPr>
          <w:p>
            <w:pPr>
              <w:adjustRightInd w:val="0"/>
              <w:snapToGrid w:val="0"/>
              <w:jc w:val="center"/>
              <w:rPr>
                <w:rFonts w:asciiTheme="minorEastAsia" w:hAnsiTheme="minorEastAsia" w:eastAsiaTheme="minorEastAsia"/>
                <w:bCs/>
                <w:szCs w:val="21"/>
                <w:lang w:val="zh-CN"/>
              </w:rPr>
            </w:pPr>
            <w:r>
              <w:rPr>
                <w:rFonts w:hint="eastAsia" w:cs="宋体" w:asciiTheme="minorEastAsia" w:hAnsiTheme="minorEastAsia" w:eastAsiaTheme="minorEastAsia"/>
                <w:bCs/>
                <w:szCs w:val="21"/>
                <w:lang w:val="zh-CN"/>
              </w:rPr>
              <w:t>2</w:t>
            </w:r>
          </w:p>
        </w:tc>
        <w:tc>
          <w:tcPr>
            <w:tcW w:w="372" w:type="pct"/>
            <w:vMerge w:val="restart"/>
            <w:tcBorders>
              <w:bottom w:val="single" w:color="auto" w:sz="4" w:space="0"/>
            </w:tcBorders>
            <w:vAlign w:val="center"/>
          </w:tcPr>
          <w:p>
            <w:pPr>
              <w:adjustRightInd w:val="0"/>
              <w:snapToGrid w:val="0"/>
              <w:jc w:val="center"/>
              <w:rPr>
                <w:rFonts w:asciiTheme="minorEastAsia" w:hAnsiTheme="minorEastAsia" w:eastAsiaTheme="minorEastAsia"/>
                <w:szCs w:val="21"/>
                <w:lang w:val="zh-CN"/>
              </w:rPr>
            </w:pPr>
            <w:r>
              <w:rPr>
                <w:rFonts w:hint="eastAsia" w:cs="宋体" w:asciiTheme="minorEastAsia" w:hAnsiTheme="minorEastAsia" w:eastAsiaTheme="minorEastAsia"/>
                <w:szCs w:val="21"/>
              </w:rPr>
              <w:t>企业综合实力</w:t>
            </w:r>
          </w:p>
        </w:tc>
        <w:tc>
          <w:tcPr>
            <w:tcW w:w="694" w:type="pct"/>
            <w:vAlign w:val="center"/>
          </w:tcPr>
          <w:p>
            <w:pPr>
              <w:adjustRightInd w:val="0"/>
              <w:snapToGrid w:val="0"/>
              <w:spacing w:line="32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业绩</w:t>
            </w:r>
          </w:p>
        </w:tc>
        <w:tc>
          <w:tcPr>
            <w:tcW w:w="366" w:type="pct"/>
            <w:vAlign w:val="center"/>
          </w:tcPr>
          <w:p>
            <w:pPr>
              <w:adjustRightInd w:val="0"/>
              <w:snapToGrid w:val="0"/>
              <w:spacing w:line="32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10</w:t>
            </w:r>
          </w:p>
        </w:tc>
        <w:tc>
          <w:tcPr>
            <w:tcW w:w="3204" w:type="pct"/>
            <w:vAlign w:val="center"/>
          </w:tcPr>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1.近5年内（2019年1月以来，以签订合同时间为准）具有互花米草治理项目研究或设计或方案编制经历，每项工程得2.5分，最多得5分。</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2.近5年内（2019年1月以来，以签订合同时间为准）具有互花米草治理项目施工经历，每项工程得2.5分，最多得5分。</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本项最高得10分。</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注：</w:t>
            </w:r>
            <w:r>
              <w:rPr>
                <w:rFonts w:hint="eastAsia" w:ascii="宋体" w:hAnsi="宋体" w:cs="宋体"/>
                <w:szCs w:val="21"/>
              </w:rPr>
              <w:t>1.若投标供应商业绩为EPC项目，按照联合体协议书中约定的工作内容（设计或施工部分）计分，同一项目仅计一次；2.需同时提供中标（或成交）通知书（或直接委托证明）、项目合同及项目已完证明（如专家评审意见或验收证书或业主单位证明等）的复印件并加盖公章，三者缺一不可</w:t>
            </w:r>
            <w:r>
              <w:rPr>
                <w:rFonts w:hint="eastAsia" w:cs="宋体" w:asciiTheme="minorEastAsia" w:hAnsiTheme="minorEastAsia" w:eastAsiaTheme="minorEastAsia"/>
                <w:szCs w:val="21"/>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adjustRightInd w:val="0"/>
              <w:snapToGrid w:val="0"/>
              <w:jc w:val="center"/>
              <w:rPr>
                <w:rFonts w:asciiTheme="minorEastAsia" w:hAnsiTheme="minorEastAsia" w:eastAsiaTheme="minorEastAsia"/>
                <w:bCs/>
                <w:szCs w:val="21"/>
                <w:lang w:val="zh-CN"/>
              </w:rPr>
            </w:pPr>
            <w:r>
              <w:rPr>
                <w:rFonts w:hint="eastAsia" w:cs="宋体" w:asciiTheme="minorEastAsia" w:hAnsiTheme="minorEastAsia" w:eastAsiaTheme="minorEastAsia"/>
                <w:bCs/>
                <w:szCs w:val="21"/>
                <w:lang w:val="zh-CN"/>
              </w:rPr>
              <w:t>3</w:t>
            </w:r>
          </w:p>
        </w:tc>
        <w:tc>
          <w:tcPr>
            <w:tcW w:w="372" w:type="pct"/>
            <w:vMerge w:val="continue"/>
            <w:tcBorders>
              <w:top w:val="single" w:color="auto" w:sz="4" w:space="0"/>
              <w:bottom w:val="single" w:color="auto" w:sz="4" w:space="0"/>
            </w:tcBorders>
            <w:vAlign w:val="center"/>
          </w:tcPr>
          <w:p>
            <w:pPr>
              <w:adjustRightInd w:val="0"/>
              <w:snapToGrid w:val="0"/>
              <w:jc w:val="center"/>
              <w:rPr>
                <w:rFonts w:asciiTheme="minorEastAsia" w:hAnsiTheme="minorEastAsia" w:eastAsiaTheme="minorEastAsia"/>
                <w:szCs w:val="21"/>
                <w:lang w:val="zh-CN"/>
              </w:rPr>
            </w:pPr>
          </w:p>
        </w:tc>
        <w:tc>
          <w:tcPr>
            <w:tcW w:w="694" w:type="pct"/>
            <w:vAlign w:val="center"/>
          </w:tcPr>
          <w:p>
            <w:pPr>
              <w:adjustRightInd w:val="0"/>
              <w:snapToGrid w:val="0"/>
              <w:spacing w:line="32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人员团队</w:t>
            </w:r>
          </w:p>
        </w:tc>
        <w:tc>
          <w:tcPr>
            <w:tcW w:w="366" w:type="pct"/>
            <w:vAlign w:val="center"/>
          </w:tcPr>
          <w:p>
            <w:pPr>
              <w:adjustRightInd w:val="0"/>
              <w:snapToGrid w:val="0"/>
              <w:spacing w:line="32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13</w:t>
            </w:r>
          </w:p>
        </w:tc>
        <w:tc>
          <w:tcPr>
            <w:tcW w:w="3204" w:type="pct"/>
            <w:vAlign w:val="center"/>
          </w:tcPr>
          <w:p>
            <w:pPr>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1.项目负责人（4分）</w:t>
            </w:r>
          </w:p>
          <w:p>
            <w:pPr>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①具有正高级工程师职称的得2分，没有不得分。</w:t>
            </w:r>
          </w:p>
          <w:p>
            <w:pPr>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②近5年内担任过互花米草治理研究或设计或方案编制项目的项目负责人或技术负责人的，有1个按照2分计算，最多得2分；（2019年1月以来，以签订合同时间为准）。</w:t>
            </w:r>
          </w:p>
          <w:p>
            <w:pPr>
              <w:rPr>
                <w:rFonts w:cs="宋体" w:asciiTheme="minorEastAsia" w:hAnsiTheme="minorEastAsia" w:eastAsiaTheme="minorEastAsia"/>
                <w:szCs w:val="21"/>
              </w:rPr>
            </w:pPr>
            <w:r>
              <w:rPr>
                <w:rFonts w:hint="eastAsia" w:cs="宋体" w:asciiTheme="minorEastAsia" w:hAnsiTheme="minorEastAsia" w:eastAsiaTheme="minorEastAsia"/>
                <w:szCs w:val="21"/>
              </w:rPr>
              <w:t>2.施工负责人（4分）</w:t>
            </w:r>
          </w:p>
          <w:p>
            <w:pPr>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①具有高级工程师职称的得2分，没有不得分。</w:t>
            </w:r>
          </w:p>
          <w:p>
            <w:pPr>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②近5年内担任过互花米草治理施工项目（含EPC项目）的项目负责人或技术负责人或施工负责人的，有1个按照2分计算，最多得2分；（2019年1月以来，以签订合同时间为准）。</w:t>
            </w:r>
          </w:p>
          <w:p>
            <w:pPr>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3.项目团队其他成员（5分）</w:t>
            </w:r>
          </w:p>
          <w:p>
            <w:pPr>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项目团队成员（项目负责人和施工负责人除外）具有相关专业（海洋科学、水利工程、土木水利、环境科学与工程、地理学、大气科学）高级及以上职称的，每有1人得1分，最高得分5分。</w:t>
            </w:r>
          </w:p>
          <w:p>
            <w:pPr>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注：提供上述人员职称证书或文件、学历或学位证书复印件（或扫描件）加盖投标供应商公章等材料。提供投标供应商为其缴纳的截止本招标公告发布之日前投标供应商为其缴纳的投标截止时间前三个月（不含投标截止时间当月）中至少一个月的养老保险缴纳证明材料，事业单位无法提供社保证明的，须提供本单位盖章的承诺证明，否则不得分。</w:t>
            </w:r>
          </w:p>
        </w:tc>
      </w:tr>
    </w:tbl>
    <w:p>
      <w:pPr>
        <w:adjustRightInd w:val="0"/>
        <w:snapToGrid w:val="0"/>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注：1.项目负责人、施工负责人及供应商业绩如为同一业绩可重复计分。</w:t>
      </w:r>
    </w:p>
    <w:p>
      <w:pPr>
        <w:adjustRightInd w:val="0"/>
        <w:snapToGrid w:val="0"/>
        <w:spacing w:line="360" w:lineRule="auto"/>
        <w:ind w:firstLine="840" w:firstLineChars="400"/>
        <w:rPr>
          <w:rFonts w:cs="宋体" w:asciiTheme="minorEastAsia" w:hAnsiTheme="minorEastAsia" w:eastAsiaTheme="minorEastAsia"/>
          <w:szCs w:val="21"/>
        </w:rPr>
      </w:pPr>
      <w:r>
        <w:rPr>
          <w:rFonts w:hint="eastAsia" w:cs="宋体" w:asciiTheme="minorEastAsia" w:hAnsiTheme="minorEastAsia" w:eastAsiaTheme="minorEastAsia"/>
          <w:szCs w:val="21"/>
        </w:rPr>
        <w:t>2.商务技术分得分低于60%时视为未实质性响应采购文件要求，作为无效投标处理。</w:t>
      </w:r>
    </w:p>
    <w:p>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（四）价格分：15分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1.本项目</w:t>
      </w:r>
      <w:r>
        <w:rPr>
          <w:rFonts w:hint="eastAsia" w:ascii="宋体" w:hAnsi="宋体" w:cs="宋体"/>
          <w:sz w:val="24"/>
        </w:rPr>
        <w:t>最高限价为140万元（其中南通港小庙洪上延航道工程最高限价95万元，三夹沙南航道工程最高限价45万元）。报价超过总价最高限价或分项最高限价的均为无效投标处理</w:t>
      </w:r>
      <w:r>
        <w:rPr>
          <w:rFonts w:hint="eastAsia" w:ascii="宋体" w:hAnsi="宋体" w:cs="宋体"/>
          <w:bCs/>
          <w:sz w:val="24"/>
        </w:rPr>
        <w:t>。</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价格分统一采用低价优先法计算，即满足招标文件要求且投标总价格最低的投标报价为评标基准价，其价格分为满分。其他投标供应商的价格分统一按照下列公式计算（分值保留小数点后两位）：</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投标报价得分=（评标基准价/投标报价）×价格权值×100</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注：1.价格分按总价计算。</w:t>
      </w:r>
    </w:p>
    <w:p>
      <w:pPr>
        <w:adjustRightInd w:val="0"/>
        <w:snapToGrid w:val="0"/>
        <w:spacing w:line="360" w:lineRule="auto"/>
        <w:ind w:firstLine="960" w:firstLineChars="400"/>
        <w:rPr>
          <w:rFonts w:ascii="宋体" w:hAnsi="宋体" w:cs="宋体"/>
          <w:bCs/>
          <w:sz w:val="24"/>
        </w:rPr>
      </w:pPr>
      <w:r>
        <w:rPr>
          <w:rFonts w:hint="eastAsia" w:ascii="宋体" w:hAnsi="宋体" w:cs="宋体"/>
          <w:bCs/>
          <w:sz w:val="24"/>
        </w:rPr>
        <w:t>2.评标委员会认为投标供应商的报价明显低于其他通过符合性审查投标供应商的报价，有可能影响服务质量或者不能诚信履约的，应当要求其在评标现场合理的时间内提供书面说明，必要时提交相关证明材料；投标供应商不能证明其报价合理性的，评标委员会应当将其作为无效投标处理。</w:t>
      </w:r>
    </w:p>
    <w:p>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（五）政府采购政策功能落实（如有涉及请装订至价格标响应文件中）</w:t>
      </w:r>
    </w:p>
    <w:p>
      <w:pPr>
        <w:adjustRightInd w:val="0"/>
        <w:snapToGrid w:val="0"/>
        <w:spacing w:line="360" w:lineRule="auto"/>
        <w:ind w:firstLine="480" w:firstLineChars="200"/>
        <w:jc w:val="left"/>
        <w:rPr>
          <w:rFonts w:ascii="宋体" w:hAnsi="宋体" w:cs="宋体"/>
          <w:bCs/>
          <w:sz w:val="24"/>
        </w:rPr>
      </w:pPr>
      <w:r>
        <w:rPr>
          <w:rFonts w:hint="eastAsia" w:ascii="宋体" w:hAnsi="宋体" w:cs="宋体"/>
          <w:bCs/>
          <w:sz w:val="24"/>
        </w:rPr>
        <w:t>1.小微型企业价格扣除</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（1）本项目对小型和微型企业产品给予20%的扣除价格，用扣除后的价格参与评审。</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（2）投标供应商需按照《政府采购促进中小企业发展管理办法》（财库﹝2020﹞46 号）的规定提供相应的《中小企业声明函》。</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（3）企业标准请参照《关于印发中小企业划型标准规定的通知》（工信部联企业[2011]300号）文件规定自行填写。</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2.残疾人福利单位价格扣除</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（1）本项目对残疾人福利性单位，给予20%的价格扣除，用扣除后的价格参与评审。</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（2）残疾人福利单位需按照采购文件的要求提供《残疾人福利性单位声明函》。</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（3）残疾人福利单位标准请参照《关于促进残疾人就业政府采购政策的通知》（财库〔2017〕141号）。</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3.监狱和戒毒企业价格扣除</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（1）本项目对监狱和戒毒企业（简称监狱企业）给予20%的价格扣除，用扣除后的价格参与评审。</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（2）监狱企业参加政府采购活动时，需提供由省级以上监狱管理局、戒毒管理局(含新疆生产建设兵团)出具的属于监狱企业的证明文件。投标供应商如不提供上述证明文件，价格将不做相应扣除。</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（3）监狱企业标准请参照《关于政府采购支持监狱企业发展有关问题的通知》（财库[2014]68号）。</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4.残疾人福利单位、监狱企业属于小型、微型企业的，不重复享受政策。</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5.大中型企业与小微企业（残疾人福利单位、监狱企业）组成联合体或者大中型企业向小微企业（残疾人福利单位、监狱企业）分包的，对联合协议或者分包意向协议约定小微企业合同份额占到合同总金额30%以上的，对联合体或者大中型企业的报价给予6%的扣除，用扣除后的价格参与评审。</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6.联合体各方均为小型、微型企业（残疾人福利单位、监狱企业）的，联合体享受上述同类价格扣除，用扣除后的价格参与评审。</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7.专门面向中小企业采购的项目或者采购包，不再执行价格评审优惠的扶持政策。</w:t>
      </w:r>
    </w:p>
    <w:p>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（六）成交供应商的确定</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评委会汇总各评委评分后，按照得分从高到低的顺序推荐三名成交候选人，并编写评标报告。</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采购人委托评标委员会直接确定排名第一的成交候选人为成交供应商。</w:t>
      </w:r>
    </w:p>
    <w:p>
      <w:pPr>
        <w:adjustRightInd w:val="0"/>
        <w:snapToGrid w:val="0"/>
        <w:spacing w:line="360" w:lineRule="auto"/>
        <w:ind w:firstLine="477" w:firstLineChars="198"/>
        <w:rPr>
          <w:rFonts w:ascii="宋体" w:hAnsi="宋体" w:cs="宋体"/>
          <w:b/>
          <w:sz w:val="24"/>
        </w:rPr>
      </w:pPr>
      <w:r>
        <w:rPr>
          <w:rFonts w:hint="eastAsia" w:ascii="宋体" w:hAnsi="宋体" w:cs="宋体"/>
          <w:b/>
          <w:sz w:val="24"/>
        </w:rPr>
        <w:t>（七）采购人或采购代理机构宣布评标结果。</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（八）公告中标（或成交）结果</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自确定成交供应商之日起2个工作日内，在南通港集团建设投资有限公司、</w:t>
      </w:r>
      <w:r>
        <w:rPr>
          <w:rFonts w:hint="eastAsia" w:ascii="宋体" w:hAnsi="宋体" w:cs="宋体"/>
          <w:bCs/>
          <w:kern w:val="0"/>
          <w:sz w:val="24"/>
        </w:rPr>
        <w:t>南通港（港口）集团有限公司、江苏省招标投标公共服务平台</w:t>
      </w:r>
      <w:r>
        <w:rPr>
          <w:rFonts w:hint="eastAsia" w:ascii="宋体" w:hAnsi="宋体" w:cs="宋体"/>
          <w:sz w:val="24"/>
        </w:rPr>
        <w:t>公告中标（或成交）结果，公告期限为1个工作日。</w:t>
      </w:r>
    </w:p>
    <w:p>
      <w:pPr>
        <w:adjustRightInd w:val="0"/>
        <w:snapToGrid w:val="0"/>
        <w:spacing w:line="360" w:lineRule="auto"/>
        <w:ind w:firstLine="482" w:firstLineChars="200"/>
        <w:rPr>
          <w:rFonts w:ascii="宋体" w:hAnsi="宋体" w:cs="宋体"/>
          <w:b/>
          <w:bCs/>
          <w:sz w:val="24"/>
        </w:rPr>
      </w:pPr>
      <w:r>
        <w:rPr>
          <w:rFonts w:hint="eastAsia" w:ascii="宋体" w:hAnsi="宋体" w:cs="宋体"/>
          <w:b/>
          <w:sz w:val="24"/>
        </w:rPr>
        <w:t>（</w:t>
      </w:r>
      <w:r>
        <w:rPr>
          <w:rFonts w:hint="eastAsia" w:ascii="宋体" w:hAnsi="宋体" w:cs="宋体"/>
          <w:b/>
          <w:bCs/>
          <w:sz w:val="24"/>
        </w:rPr>
        <w:t>九</w:t>
      </w:r>
      <w:r>
        <w:rPr>
          <w:rFonts w:hint="eastAsia" w:ascii="宋体" w:hAnsi="宋体" w:cs="宋体"/>
          <w:b/>
          <w:sz w:val="24"/>
        </w:rPr>
        <w:t>）</w:t>
      </w:r>
      <w:r>
        <w:rPr>
          <w:rFonts w:hint="eastAsia" w:ascii="宋体" w:hAnsi="宋体" w:cs="宋体"/>
          <w:b/>
          <w:bCs/>
          <w:sz w:val="24"/>
        </w:rPr>
        <w:t>发放成交通知书</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公告中标（或成交）结果的同时，采购人向成交供应商发放成交通知书。</w:t>
      </w:r>
    </w:p>
    <w:p>
      <w:pPr>
        <w:widowControl/>
        <w:adjustRightInd w:val="0"/>
        <w:snapToGrid w:val="0"/>
        <w:spacing w:line="360" w:lineRule="auto"/>
        <w:ind w:firstLine="480" w:firstLineChars="200"/>
        <w:jc w:val="left"/>
        <w:rPr>
          <w:rFonts w:ascii="宋体" w:hAnsi="宋体" w:cs="宋体"/>
          <w:b/>
          <w:sz w:val="36"/>
          <w:szCs w:val="36"/>
        </w:rPr>
      </w:pPr>
      <w:r>
        <w:rPr>
          <w:rFonts w:hint="eastAsia" w:ascii="宋体" w:hAnsi="宋体" w:cs="宋体"/>
          <w:sz w:val="24"/>
        </w:rPr>
        <w:t>成交通知书发出后，采购人不得违法改变中标（或成交）结果，供应商无正当理由不得放弃成交。</w:t>
      </w:r>
    </w:p>
    <w:p>
      <w:pPr>
        <w:widowControl/>
        <w:jc w:val="left"/>
        <w:rPr>
          <w:rFonts w:ascii="宋体" w:hAnsi="宋体" w:cs="宋体"/>
          <w:b/>
          <w:sz w:val="36"/>
          <w:szCs w:val="36"/>
        </w:rPr>
      </w:pPr>
      <w:r>
        <w:rPr>
          <w:rFonts w:ascii="宋体" w:hAnsi="宋体" w:cs="宋体"/>
          <w:b/>
          <w:sz w:val="36"/>
          <w:szCs w:val="36"/>
        </w:rPr>
        <w:br w:type="page"/>
      </w:r>
    </w:p>
    <w:p>
      <w:pPr>
        <w:adjustRightInd w:val="0"/>
        <w:snapToGrid w:val="0"/>
        <w:spacing w:line="360" w:lineRule="auto"/>
        <w:ind w:firstLine="200"/>
        <w:jc w:val="center"/>
        <w:outlineLvl w:val="0"/>
        <w:rPr>
          <w:rFonts w:ascii="宋体" w:hAnsi="宋体" w:cs="宋体"/>
          <w:b/>
          <w:sz w:val="36"/>
          <w:szCs w:val="36"/>
        </w:rPr>
      </w:pPr>
      <w:r>
        <w:rPr>
          <w:rFonts w:hint="eastAsia" w:ascii="宋体" w:hAnsi="宋体" w:cs="宋体"/>
          <w:b/>
          <w:sz w:val="36"/>
          <w:szCs w:val="36"/>
        </w:rPr>
        <w:t>第五部分  合同主要条款</w:t>
      </w:r>
    </w:p>
    <w:p>
      <w:pPr>
        <w:widowControl/>
        <w:adjustRightInd w:val="0"/>
        <w:snapToGrid w:val="0"/>
        <w:spacing w:line="360" w:lineRule="auto"/>
        <w:ind w:firstLine="643" w:firstLineChars="200"/>
        <w:jc w:val="center"/>
        <w:rPr>
          <w:rFonts w:ascii="宋体" w:hAnsi="宋体" w:cs="宋体"/>
          <w:b/>
          <w:sz w:val="32"/>
          <w:szCs w:val="32"/>
        </w:rPr>
      </w:pPr>
      <w:r>
        <w:rPr>
          <w:rFonts w:hint="eastAsia" w:ascii="宋体" w:hAnsi="宋体" w:cs="宋体"/>
          <w:b/>
          <w:sz w:val="32"/>
          <w:szCs w:val="32"/>
        </w:rPr>
        <w:t>南通港小庙洪上延航道工程和三夹沙南航道工程海岸生态环境整治互花米草综合防治项目合同协议书</w:t>
      </w:r>
    </w:p>
    <w:p>
      <w:pPr>
        <w:pStyle w:val="2"/>
        <w:rPr>
          <w:rFonts w:ascii="宋体" w:hAnsi="宋体" w:eastAsia="宋体" w:cs="仿宋"/>
          <w:b/>
          <w:bCs/>
          <w:sz w:val="24"/>
          <w:szCs w:val="24"/>
        </w:rPr>
      </w:pPr>
      <w:r>
        <w:rPr>
          <w:rFonts w:hint="eastAsia" w:ascii="宋体" w:hAnsi="宋体" w:eastAsia="宋体" w:cs="仿宋"/>
          <w:b/>
          <w:bCs/>
          <w:sz w:val="24"/>
          <w:szCs w:val="24"/>
        </w:rPr>
        <w:t>注：按照南通港小庙洪上延航道工程和南通港三夹沙南航道工程分别签署合同协议书。</w:t>
      </w:r>
    </w:p>
    <w:p>
      <w:pPr>
        <w:spacing w:line="440" w:lineRule="exact"/>
        <w:rPr>
          <w:rFonts w:ascii="宋体" w:hAnsi="宋体" w:cs="仿宋"/>
          <w:sz w:val="24"/>
        </w:rPr>
      </w:pPr>
      <w:r>
        <w:rPr>
          <w:rFonts w:ascii="宋体" w:hAnsi="宋体" w:cs="仿宋"/>
          <w:sz w:val="24"/>
        </w:rPr>
        <w:t>甲方</w:t>
      </w:r>
      <w:r>
        <w:rPr>
          <w:rFonts w:hint="eastAsia" w:ascii="宋体" w:hAnsi="宋体" w:cs="仿宋"/>
          <w:sz w:val="24"/>
        </w:rPr>
        <w:t>（采购人）：</w:t>
      </w:r>
    </w:p>
    <w:p>
      <w:pPr>
        <w:spacing w:line="440" w:lineRule="exact"/>
        <w:rPr>
          <w:rFonts w:ascii="宋体" w:hAnsi="宋体" w:cs="仿宋"/>
          <w:sz w:val="24"/>
        </w:rPr>
      </w:pPr>
      <w:r>
        <w:rPr>
          <w:rFonts w:ascii="宋体" w:hAnsi="宋体" w:cs="仿宋"/>
          <w:sz w:val="24"/>
        </w:rPr>
        <w:t>乙方</w:t>
      </w:r>
      <w:r>
        <w:rPr>
          <w:rFonts w:hint="eastAsia" w:ascii="宋体" w:hAnsi="宋体" w:cs="仿宋"/>
          <w:sz w:val="24"/>
        </w:rPr>
        <w:t>（成交供应商）：</w:t>
      </w:r>
    </w:p>
    <w:p>
      <w:pPr>
        <w:spacing w:line="440" w:lineRule="exact"/>
        <w:ind w:firstLine="480" w:firstLineChars="200"/>
        <w:rPr>
          <w:rFonts w:ascii="宋体" w:hAnsi="宋体" w:cs="仿宋"/>
          <w:sz w:val="24"/>
        </w:rPr>
      </w:pPr>
      <w:r>
        <w:rPr>
          <w:rFonts w:hint="eastAsia" w:ascii="宋体" w:hAnsi="宋体" w:cs="仿宋"/>
          <w:sz w:val="24"/>
        </w:rPr>
        <w:t>经评审，确定乙方为成交供应商，依据《中华人民共和国民法典》及有关法律、法规。双方就有关事项协商一致，订立本合</w:t>
      </w:r>
      <w:r>
        <w:rPr>
          <w:rFonts w:ascii="宋体" w:hAnsi="宋体" w:cs="仿宋"/>
          <w:sz w:val="24"/>
        </w:rPr>
        <w:t>同。</w:t>
      </w:r>
    </w:p>
    <w:p>
      <w:pPr>
        <w:widowControl/>
        <w:kinsoku w:val="0"/>
        <w:autoSpaceDE w:val="0"/>
        <w:autoSpaceDN w:val="0"/>
        <w:adjustRightInd w:val="0"/>
        <w:snapToGrid w:val="0"/>
        <w:spacing w:before="184" w:line="218" w:lineRule="auto"/>
        <w:ind w:left="503"/>
        <w:jc w:val="left"/>
        <w:textAlignment w:val="baseline"/>
        <w:rPr>
          <w:rFonts w:cs="宋体" w:asciiTheme="minorEastAsia" w:hAnsiTheme="minorEastAsia" w:eastAsiaTheme="minorEastAsia"/>
          <w:snapToGrid w:val="0"/>
          <w:color w:val="000000"/>
          <w:kern w:val="0"/>
          <w:sz w:val="24"/>
        </w:rPr>
      </w:pPr>
      <w:r>
        <w:rPr>
          <w:rFonts w:hint="eastAsia" w:cs="宋体" w:asciiTheme="minorEastAsia" w:hAnsiTheme="minorEastAsia" w:eastAsiaTheme="minorEastAsia"/>
          <w:b/>
          <w:bCs/>
          <w:snapToGrid w:val="0"/>
          <w:color w:val="000000"/>
          <w:spacing w:val="-12"/>
          <w:kern w:val="0"/>
          <w:sz w:val="24"/>
        </w:rPr>
        <w:t>一</w:t>
      </w:r>
      <w:r>
        <w:rPr>
          <w:rFonts w:cs="宋体" w:asciiTheme="minorEastAsia" w:hAnsiTheme="minorEastAsia" w:eastAsiaTheme="minorEastAsia"/>
          <w:snapToGrid w:val="0"/>
          <w:color w:val="000000"/>
          <w:spacing w:val="-67"/>
          <w:kern w:val="0"/>
          <w:sz w:val="24"/>
        </w:rPr>
        <w:t xml:space="preserve"> </w:t>
      </w:r>
      <w:r>
        <w:rPr>
          <w:rFonts w:hint="eastAsia" w:cs="宋体" w:asciiTheme="minorEastAsia" w:hAnsiTheme="minorEastAsia" w:eastAsiaTheme="minorEastAsia"/>
          <w:b/>
          <w:bCs/>
          <w:snapToGrid w:val="0"/>
          <w:color w:val="000000"/>
          <w:spacing w:val="-12"/>
          <w:kern w:val="0"/>
          <w:sz w:val="24"/>
        </w:rPr>
        <w:t>、合同价款及报价清单：</w:t>
      </w:r>
    </w:p>
    <w:p>
      <w:pPr>
        <w:numPr>
          <w:ilvl w:val="255"/>
          <w:numId w:val="0"/>
        </w:numPr>
        <w:spacing w:line="440" w:lineRule="exact"/>
        <w:ind w:firstLine="480" w:firstLineChars="200"/>
        <w:rPr>
          <w:rFonts w:ascii="宋体" w:hAnsi="宋体" w:cs="仿宋"/>
          <w:sz w:val="24"/>
        </w:rPr>
      </w:pPr>
      <w:r>
        <w:rPr>
          <w:rFonts w:hint="eastAsia" w:ascii="宋体" w:hAnsi="宋体" w:cs="仿宋"/>
          <w:sz w:val="24"/>
        </w:rPr>
        <w:t>1.合同总价人民币</w:t>
      </w:r>
      <w:r>
        <w:rPr>
          <w:rFonts w:ascii="宋体" w:hAnsi="宋体" w:cs="仿宋"/>
          <w:sz w:val="24"/>
        </w:rPr>
        <w:t>(</w:t>
      </w:r>
      <w:r>
        <w:rPr>
          <w:rFonts w:hint="eastAsia" w:ascii="宋体" w:hAnsi="宋体" w:cs="仿宋"/>
          <w:sz w:val="24"/>
        </w:rPr>
        <w:t>大写</w:t>
      </w:r>
      <w:r>
        <w:rPr>
          <w:rFonts w:ascii="宋体" w:hAnsi="宋体" w:cs="仿宋"/>
          <w:sz w:val="24"/>
        </w:rPr>
        <w:t>)</w:t>
      </w:r>
      <w:r>
        <w:rPr>
          <w:rFonts w:hint="eastAsia" w:ascii="宋体" w:hAnsi="宋体" w:cs="仿宋"/>
          <w:sz w:val="24"/>
          <w:u w:val="single"/>
        </w:rPr>
        <w:t xml:space="preserve">        </w:t>
      </w:r>
      <w:r>
        <w:rPr>
          <w:rFonts w:ascii="宋体" w:hAnsi="宋体" w:cs="仿宋"/>
          <w:sz w:val="24"/>
        </w:rPr>
        <w:tab/>
      </w:r>
      <w:r>
        <w:rPr>
          <w:rFonts w:ascii="宋体" w:hAnsi="宋体" w:cs="仿宋"/>
          <w:sz w:val="24"/>
        </w:rPr>
        <w:t>(¥</w:t>
      </w:r>
      <w:r>
        <w:rPr>
          <w:rFonts w:hint="eastAsia" w:ascii="宋体" w:hAnsi="宋体" w:cs="仿宋"/>
          <w:sz w:val="24"/>
          <w:u w:val="single"/>
        </w:rPr>
        <w:t xml:space="preserve">     </w:t>
      </w:r>
      <w:r>
        <w:rPr>
          <w:rFonts w:ascii="宋体" w:hAnsi="宋体" w:cs="仿宋"/>
          <w:sz w:val="24"/>
        </w:rPr>
        <w:t>),</w:t>
      </w:r>
      <w:r>
        <w:rPr>
          <w:rFonts w:hint="eastAsia" w:ascii="宋体" w:hAnsi="宋体" w:cs="仿宋"/>
          <w:sz w:val="24"/>
        </w:rPr>
        <w:t>该价格包括方案编制、互花米草治理、以及至</w:t>
      </w:r>
      <w:r>
        <w:rPr>
          <w:rFonts w:ascii="宋体" w:hAnsi="宋体" w:cs="仿宋"/>
          <w:sz w:val="24"/>
        </w:rPr>
        <w:t>202</w:t>
      </w:r>
      <w:r>
        <w:rPr>
          <w:rFonts w:hint="eastAsia" w:ascii="宋体" w:hAnsi="宋体" w:cs="仿宋"/>
          <w:sz w:val="24"/>
        </w:rPr>
        <w:t>6年</w:t>
      </w:r>
      <w:r>
        <w:rPr>
          <w:rFonts w:ascii="宋体" w:hAnsi="宋体" w:cs="仿宋"/>
          <w:sz w:val="24"/>
        </w:rPr>
        <w:t xml:space="preserve">12 </w:t>
      </w:r>
      <w:r>
        <w:rPr>
          <w:rFonts w:hint="eastAsia" w:ascii="宋体" w:hAnsi="宋体" w:cs="仿宋"/>
          <w:sz w:val="24"/>
        </w:rPr>
        <w:t>月</w:t>
      </w:r>
      <w:r>
        <w:rPr>
          <w:rFonts w:ascii="宋体" w:hAnsi="宋体" w:cs="仿宋"/>
          <w:sz w:val="24"/>
        </w:rPr>
        <w:t>31</w:t>
      </w:r>
      <w:r>
        <w:rPr>
          <w:rFonts w:hint="eastAsia" w:ascii="宋体" w:hAnsi="宋体" w:cs="仿宋"/>
          <w:sz w:val="24"/>
        </w:rPr>
        <w:t>日每年除杀率达</w:t>
      </w:r>
      <w:r>
        <w:rPr>
          <w:rFonts w:ascii="宋体" w:hAnsi="宋体" w:cs="仿宋"/>
          <w:sz w:val="24"/>
        </w:rPr>
        <w:t>9</w:t>
      </w:r>
      <w:r>
        <w:rPr>
          <w:rFonts w:hint="eastAsia" w:ascii="宋体" w:hAnsi="宋体" w:cs="仿宋"/>
          <w:sz w:val="24"/>
        </w:rPr>
        <w:t>0</w:t>
      </w:r>
      <w:r>
        <w:rPr>
          <w:rFonts w:ascii="宋体" w:hAnsi="宋体" w:cs="仿宋"/>
          <w:sz w:val="24"/>
        </w:rPr>
        <w:t>%(</w:t>
      </w:r>
      <w:r>
        <w:rPr>
          <w:rFonts w:hint="eastAsia" w:ascii="宋体" w:hAnsi="宋体" w:cs="仿宋"/>
          <w:sz w:val="24"/>
        </w:rPr>
        <w:t>含</w:t>
      </w:r>
      <w:r>
        <w:rPr>
          <w:rFonts w:ascii="宋体" w:hAnsi="宋体" w:cs="仿宋"/>
          <w:sz w:val="24"/>
        </w:rPr>
        <w:t>9</w:t>
      </w:r>
      <w:r>
        <w:rPr>
          <w:rFonts w:hint="eastAsia" w:ascii="宋体" w:hAnsi="宋体" w:cs="仿宋"/>
          <w:sz w:val="24"/>
        </w:rPr>
        <w:t>0</w:t>
      </w:r>
      <w:r>
        <w:rPr>
          <w:rFonts w:ascii="宋体" w:hAnsi="宋体" w:cs="仿宋"/>
          <w:sz w:val="24"/>
        </w:rPr>
        <w:t>%)</w:t>
      </w:r>
      <w:r>
        <w:rPr>
          <w:rFonts w:hint="eastAsia" w:ascii="宋体" w:hAnsi="宋体" w:cs="仿宋"/>
          <w:sz w:val="24"/>
        </w:rPr>
        <w:t>以上等的一切费用。</w:t>
      </w:r>
    </w:p>
    <w:p>
      <w:pPr>
        <w:spacing w:line="440" w:lineRule="exact"/>
        <w:ind w:firstLine="480" w:firstLineChars="200"/>
        <w:rPr>
          <w:rFonts w:ascii="宋体" w:hAnsi="宋体" w:cs="仿宋"/>
          <w:sz w:val="24"/>
        </w:rPr>
      </w:pPr>
      <w:r>
        <w:rPr>
          <w:rFonts w:hint="eastAsia" w:ascii="宋体" w:hAnsi="宋体" w:cs="仿宋"/>
          <w:sz w:val="24"/>
        </w:rPr>
        <w:t>2.</w:t>
      </w:r>
      <w:r>
        <w:rPr>
          <w:rFonts w:ascii="宋体" w:hAnsi="宋体" w:cs="仿宋"/>
          <w:sz w:val="24"/>
        </w:rPr>
        <w:t xml:space="preserve"> 报价清单：</w:t>
      </w:r>
    </w:p>
    <w:p>
      <w:pPr>
        <w:spacing w:line="440" w:lineRule="exact"/>
        <w:ind w:firstLine="480" w:firstLineChars="200"/>
        <w:rPr>
          <w:rFonts w:ascii="宋体" w:hAnsi="宋体" w:cs="仿宋"/>
          <w:sz w:val="24"/>
        </w:rPr>
      </w:pPr>
    </w:p>
    <w:p>
      <w:pPr>
        <w:widowControl/>
        <w:kinsoku w:val="0"/>
        <w:autoSpaceDE w:val="0"/>
        <w:autoSpaceDN w:val="0"/>
        <w:adjustRightInd w:val="0"/>
        <w:snapToGrid w:val="0"/>
        <w:spacing w:before="179" w:line="219" w:lineRule="auto"/>
        <w:ind w:left="503"/>
        <w:jc w:val="left"/>
        <w:textAlignment w:val="baseline"/>
        <w:rPr>
          <w:rFonts w:cs="宋体" w:asciiTheme="minorEastAsia" w:hAnsiTheme="minorEastAsia" w:eastAsiaTheme="minorEastAsia"/>
          <w:b/>
          <w:bCs/>
          <w:snapToGrid w:val="0"/>
          <w:color w:val="000000"/>
          <w:spacing w:val="-12"/>
          <w:kern w:val="0"/>
          <w:sz w:val="24"/>
        </w:rPr>
      </w:pPr>
      <w:r>
        <w:rPr>
          <w:rFonts w:hint="eastAsia" w:cs="宋体" w:asciiTheme="minorEastAsia" w:hAnsiTheme="minorEastAsia" w:eastAsiaTheme="minorEastAsia"/>
          <w:b/>
          <w:bCs/>
          <w:snapToGrid w:val="0"/>
          <w:color w:val="000000"/>
          <w:spacing w:val="-12"/>
          <w:kern w:val="0"/>
          <w:sz w:val="24"/>
        </w:rPr>
        <w:t>二、履约时间、地点及验收标准</w:t>
      </w:r>
    </w:p>
    <w:p>
      <w:pPr>
        <w:spacing w:line="440" w:lineRule="exact"/>
        <w:ind w:firstLine="480" w:firstLineChars="200"/>
        <w:rPr>
          <w:rFonts w:ascii="宋体" w:hAnsi="宋体" w:cs="仿宋"/>
          <w:sz w:val="24"/>
        </w:rPr>
      </w:pPr>
      <w:r>
        <w:rPr>
          <w:rFonts w:hint="eastAsia" w:ascii="宋体" w:hAnsi="宋体" w:cs="仿宋"/>
          <w:sz w:val="24"/>
        </w:rPr>
        <w:t>1.履约时间及地点</w:t>
      </w:r>
    </w:p>
    <w:p>
      <w:pPr>
        <w:spacing w:line="440" w:lineRule="exact"/>
        <w:ind w:firstLine="480" w:firstLineChars="200"/>
        <w:rPr>
          <w:rFonts w:ascii="宋体" w:hAnsi="宋体" w:cs="仿宋"/>
          <w:sz w:val="24"/>
        </w:rPr>
      </w:pPr>
      <w:r>
        <w:rPr>
          <w:rFonts w:hint="eastAsia" w:ascii="宋体" w:hAnsi="宋体" w:cs="仿宋"/>
          <w:sz w:val="24"/>
        </w:rPr>
        <w:t>履约时间：</w:t>
      </w:r>
      <w:r>
        <w:rPr>
          <w:rFonts w:hint="eastAsia" w:ascii="宋体" w:hAnsi="宋体" w:cs="宋体"/>
          <w:sz w:val="24"/>
        </w:rPr>
        <w:t>必须于2024年12月31日之前完成治理任务，两年管护期至2026年12月31日截止。</w:t>
      </w:r>
    </w:p>
    <w:p>
      <w:pPr>
        <w:spacing w:line="440" w:lineRule="exact"/>
        <w:ind w:firstLine="480" w:firstLineChars="200"/>
        <w:rPr>
          <w:rFonts w:ascii="宋体" w:hAnsi="宋体" w:cs="宋体"/>
          <w:sz w:val="24"/>
        </w:rPr>
      </w:pPr>
      <w:r>
        <w:rPr>
          <w:rFonts w:hint="eastAsia" w:ascii="宋体" w:hAnsi="宋体" w:cs="宋体"/>
          <w:sz w:val="24"/>
        </w:rPr>
        <w:t>地点：除治包括自通州湾海门交界起，至东灶港闸止的海堤外侧互花米草，</w:t>
      </w:r>
      <w:r>
        <w:rPr>
          <w:rFonts w:ascii="宋体" w:hAnsi="宋体" w:cs="宋体"/>
          <w:sz w:val="24"/>
        </w:rPr>
        <w:t>周边零星除草不另列，乙方已自行测算计入报价。</w:t>
      </w:r>
    </w:p>
    <w:p>
      <w:pPr>
        <w:spacing w:line="440" w:lineRule="exact"/>
        <w:ind w:firstLine="480" w:firstLineChars="200"/>
        <w:rPr>
          <w:rFonts w:ascii="宋体" w:hAnsi="宋体" w:cs="宋体"/>
          <w:sz w:val="24"/>
        </w:rPr>
      </w:pPr>
      <w:r>
        <w:rPr>
          <w:rFonts w:hint="eastAsia" w:ascii="宋体" w:hAnsi="宋体" w:cs="宋体"/>
          <w:sz w:val="24"/>
        </w:rPr>
        <w:t>2.验收标准</w:t>
      </w:r>
    </w:p>
    <w:p>
      <w:pPr>
        <w:spacing w:line="440" w:lineRule="exact"/>
        <w:ind w:firstLine="480" w:firstLineChars="200"/>
        <w:rPr>
          <w:rFonts w:ascii="宋体" w:hAnsi="宋体" w:cs="宋体"/>
          <w:sz w:val="24"/>
        </w:rPr>
      </w:pPr>
      <w:r>
        <w:rPr>
          <w:rFonts w:hint="eastAsia" w:ascii="宋体" w:hAnsi="宋体" w:cs="宋体"/>
          <w:sz w:val="24"/>
        </w:rPr>
        <w:t>2.1方案质量要求：编制成果需通过主管部门审批。</w:t>
      </w:r>
    </w:p>
    <w:p>
      <w:pPr>
        <w:spacing w:line="440" w:lineRule="exact"/>
        <w:ind w:firstLine="480" w:firstLineChars="200"/>
        <w:rPr>
          <w:rFonts w:ascii="宋体" w:hAnsi="宋体" w:cs="宋体"/>
          <w:sz w:val="24"/>
        </w:rPr>
      </w:pPr>
      <w:r>
        <w:rPr>
          <w:rFonts w:hint="eastAsia" w:ascii="宋体" w:hAnsi="宋体" w:cs="宋体"/>
          <w:sz w:val="24"/>
        </w:rPr>
        <w:t>2.2施工验收要求：应满足江苏省林业局办公室关于印发的《江苏省互花米草除治技术手册（第一版）》的验收要求（采购人要求高于该标准的，以要求高的执行），以第三方效果评估结论为依据，以主管部门组织验收的结果为最终标准。</w:t>
      </w:r>
    </w:p>
    <w:p>
      <w:pPr>
        <w:spacing w:line="440" w:lineRule="exact"/>
        <w:ind w:firstLine="480" w:firstLineChars="200"/>
        <w:rPr>
          <w:rFonts w:ascii="宋体" w:hAnsi="宋体" w:cs="宋体"/>
          <w:sz w:val="24"/>
        </w:rPr>
      </w:pPr>
      <w:r>
        <w:rPr>
          <w:rFonts w:hint="eastAsia" w:ascii="宋体" w:hAnsi="宋体" w:cs="宋体"/>
          <w:sz w:val="24"/>
        </w:rPr>
        <w:t>甲方派人员进行定期或不定期现场抽检监督实施情况，乙方必须接受甲方或其授权的代表或主管部门人员的技术指导和质量监督，对监督人员提出质量问题要及时整改，如未及时整改，甲方有权终止合同。</w:t>
      </w:r>
    </w:p>
    <w:p>
      <w:pPr>
        <w:spacing w:line="440" w:lineRule="exact"/>
        <w:ind w:firstLine="480" w:firstLineChars="200"/>
        <w:rPr>
          <w:rFonts w:ascii="宋体" w:hAnsi="宋体" w:cs="宋体"/>
          <w:sz w:val="24"/>
        </w:rPr>
      </w:pPr>
      <w:r>
        <w:rPr>
          <w:rFonts w:hint="eastAsia" w:ascii="宋体" w:hAnsi="宋体" w:cs="宋体"/>
          <w:sz w:val="24"/>
        </w:rPr>
        <w:t>2.3两年管护服务要求</w:t>
      </w:r>
    </w:p>
    <w:p>
      <w:pPr>
        <w:spacing w:line="440" w:lineRule="exact"/>
        <w:ind w:firstLine="480" w:firstLineChars="200"/>
        <w:rPr>
          <w:rFonts w:ascii="宋体" w:hAnsi="宋体" w:cs="宋体"/>
          <w:sz w:val="24"/>
        </w:rPr>
      </w:pPr>
      <w:r>
        <w:rPr>
          <w:rFonts w:hint="eastAsia" w:ascii="宋体" w:hAnsi="宋体" w:cs="宋体"/>
          <w:sz w:val="24"/>
        </w:rPr>
        <w:t>当年实际除杀率必须在90%（含90%）以上，次年对残存和新生草体连续除杀，同样达90%（含90%）以上，并持续保持至2026年12月31日。</w:t>
      </w:r>
    </w:p>
    <w:p>
      <w:pPr>
        <w:widowControl/>
        <w:kinsoku w:val="0"/>
        <w:autoSpaceDE w:val="0"/>
        <w:autoSpaceDN w:val="0"/>
        <w:adjustRightInd w:val="0"/>
        <w:snapToGrid w:val="0"/>
        <w:spacing w:before="179" w:line="219" w:lineRule="auto"/>
        <w:ind w:left="503"/>
        <w:jc w:val="left"/>
        <w:textAlignment w:val="baseline"/>
        <w:rPr>
          <w:rFonts w:cs="宋体" w:asciiTheme="minorEastAsia" w:hAnsiTheme="minorEastAsia" w:eastAsiaTheme="minorEastAsia"/>
          <w:b/>
          <w:bCs/>
          <w:snapToGrid w:val="0"/>
          <w:color w:val="000000"/>
          <w:spacing w:val="-12"/>
          <w:kern w:val="0"/>
          <w:sz w:val="24"/>
        </w:rPr>
      </w:pPr>
      <w:r>
        <w:rPr>
          <w:rFonts w:cs="宋体" w:asciiTheme="minorEastAsia" w:hAnsiTheme="minorEastAsia" w:eastAsiaTheme="minorEastAsia"/>
          <w:b/>
          <w:bCs/>
          <w:snapToGrid w:val="0"/>
          <w:color w:val="000000"/>
          <w:spacing w:val="-12"/>
          <w:kern w:val="0"/>
          <w:sz w:val="24"/>
        </w:rPr>
        <w:t>三、 付款方式</w:t>
      </w:r>
    </w:p>
    <w:p>
      <w:pPr>
        <w:spacing w:line="440" w:lineRule="exact"/>
        <w:ind w:firstLine="480" w:firstLineChars="200"/>
        <w:rPr>
          <w:rFonts w:ascii="宋体" w:hAnsi="宋体" w:cs="宋体"/>
          <w:sz w:val="24"/>
        </w:rPr>
      </w:pPr>
      <w:r>
        <w:rPr>
          <w:rFonts w:hint="eastAsia" w:ascii="宋体" w:hAnsi="宋体" w:cs="宋体"/>
          <w:sz w:val="24"/>
        </w:rPr>
        <w:t>（一）南通港小庙洪上延航道工程</w:t>
      </w:r>
    </w:p>
    <w:p>
      <w:pPr>
        <w:spacing w:line="440" w:lineRule="exact"/>
        <w:ind w:firstLine="480" w:firstLineChars="200"/>
        <w:rPr>
          <w:rFonts w:ascii="宋体" w:hAnsi="宋体" w:cs="宋体"/>
          <w:sz w:val="24"/>
        </w:rPr>
      </w:pPr>
      <w:r>
        <w:rPr>
          <w:rFonts w:hint="eastAsia" w:ascii="宋体" w:hAnsi="宋体" w:cs="宋体"/>
          <w:sz w:val="24"/>
        </w:rPr>
        <w:t>1.方案编制完成并通过专家评审后，支付合同总价的15%；</w:t>
      </w:r>
    </w:p>
    <w:p>
      <w:pPr>
        <w:spacing w:line="440" w:lineRule="exact"/>
        <w:ind w:firstLine="480" w:firstLineChars="200"/>
        <w:rPr>
          <w:rFonts w:ascii="宋体" w:hAnsi="宋体" w:cs="宋体"/>
          <w:sz w:val="24"/>
        </w:rPr>
      </w:pPr>
      <w:r>
        <w:rPr>
          <w:rFonts w:hint="eastAsia" w:ascii="宋体" w:hAnsi="宋体" w:cs="宋体"/>
          <w:sz w:val="24"/>
        </w:rPr>
        <w:t>2.2024年整治工程全部完成并验收合格后，支付至合同总价的60%；</w:t>
      </w:r>
    </w:p>
    <w:p>
      <w:pPr>
        <w:spacing w:line="440" w:lineRule="exact"/>
        <w:ind w:firstLine="480" w:firstLineChars="200"/>
        <w:rPr>
          <w:rFonts w:ascii="宋体" w:hAnsi="宋体" w:cs="宋体"/>
          <w:sz w:val="24"/>
        </w:rPr>
      </w:pPr>
      <w:r>
        <w:rPr>
          <w:rFonts w:hint="eastAsia" w:ascii="宋体" w:hAnsi="宋体" w:cs="宋体"/>
          <w:sz w:val="24"/>
        </w:rPr>
        <w:t>3.第</w:t>
      </w:r>
      <w:bookmarkStart w:id="108" w:name="_GoBack"/>
      <w:bookmarkEnd w:id="108"/>
      <w:r>
        <w:rPr>
          <w:rFonts w:hint="eastAsia" w:ascii="宋体" w:hAnsi="宋体" w:cs="宋体"/>
          <w:sz w:val="24"/>
        </w:rPr>
        <w:t>一年管护期末，经验收合格后付至合同总价的</w:t>
      </w:r>
      <w:r>
        <w:rPr>
          <w:rFonts w:ascii="宋体" w:hAnsi="宋体" w:cs="宋体"/>
          <w:sz w:val="24"/>
        </w:rPr>
        <w:t>8</w:t>
      </w:r>
      <w:r>
        <w:rPr>
          <w:rFonts w:hint="eastAsia" w:ascii="宋体" w:hAnsi="宋体" w:cs="宋体"/>
          <w:sz w:val="24"/>
        </w:rPr>
        <w:t>0%，待两年管护期结束并通过项目最终竣工验收，结清余款。</w:t>
      </w:r>
    </w:p>
    <w:p>
      <w:pPr>
        <w:spacing w:line="440" w:lineRule="exact"/>
        <w:ind w:firstLine="480" w:firstLineChars="200"/>
        <w:rPr>
          <w:rFonts w:ascii="宋体" w:hAnsi="宋体" w:cs="宋体"/>
          <w:sz w:val="24"/>
        </w:rPr>
      </w:pPr>
      <w:r>
        <w:rPr>
          <w:rFonts w:hint="eastAsia" w:ascii="宋体" w:hAnsi="宋体" w:cs="宋体"/>
          <w:sz w:val="24"/>
        </w:rPr>
        <w:t xml:space="preserve"> （二）南通港三夹沙南航道工程</w:t>
      </w:r>
    </w:p>
    <w:p>
      <w:pPr>
        <w:spacing w:line="440" w:lineRule="exact"/>
        <w:ind w:firstLine="480" w:firstLineChars="200"/>
        <w:rPr>
          <w:rFonts w:ascii="宋体" w:hAnsi="宋体" w:cs="宋体"/>
          <w:sz w:val="24"/>
        </w:rPr>
      </w:pPr>
      <w:r>
        <w:rPr>
          <w:rFonts w:hint="eastAsia" w:ascii="宋体" w:hAnsi="宋体" w:cs="宋体"/>
          <w:sz w:val="24"/>
        </w:rPr>
        <w:t>1.方案编制完成并通过专家评审后，支付合同总价的15%；</w:t>
      </w:r>
    </w:p>
    <w:p>
      <w:pPr>
        <w:spacing w:line="440" w:lineRule="exact"/>
        <w:ind w:firstLine="480" w:firstLineChars="200"/>
        <w:rPr>
          <w:rFonts w:ascii="宋体" w:hAnsi="宋体" w:cs="宋体"/>
          <w:sz w:val="24"/>
        </w:rPr>
      </w:pPr>
      <w:r>
        <w:rPr>
          <w:rFonts w:hint="eastAsia" w:ascii="宋体" w:hAnsi="宋体" w:cs="宋体"/>
          <w:sz w:val="24"/>
        </w:rPr>
        <w:t>2.2024年整治工程全部完成并验收合格后，支付至合同总价的60%；</w:t>
      </w:r>
    </w:p>
    <w:p>
      <w:pPr>
        <w:spacing w:line="440" w:lineRule="exact"/>
        <w:ind w:firstLine="480" w:firstLineChars="200"/>
        <w:rPr>
          <w:rFonts w:ascii="宋体" w:hAnsi="宋体" w:cs="宋体"/>
          <w:sz w:val="24"/>
        </w:rPr>
      </w:pPr>
      <w:r>
        <w:rPr>
          <w:rFonts w:hint="eastAsia" w:ascii="宋体" w:hAnsi="宋体" w:cs="宋体"/>
          <w:sz w:val="24"/>
        </w:rPr>
        <w:t>3.第一年管护期末，经验收合格后付至合同总价的</w:t>
      </w:r>
      <w:r>
        <w:rPr>
          <w:rFonts w:ascii="宋体" w:hAnsi="宋体" w:cs="宋体"/>
          <w:sz w:val="24"/>
        </w:rPr>
        <w:t>8</w:t>
      </w:r>
      <w:r>
        <w:rPr>
          <w:rFonts w:hint="eastAsia" w:ascii="宋体" w:hAnsi="宋体" w:cs="宋体"/>
          <w:sz w:val="24"/>
        </w:rPr>
        <w:t>0%，待两年管护期结束并通过项目最终竣工验收，结清余款。</w:t>
      </w:r>
    </w:p>
    <w:p>
      <w:pPr>
        <w:spacing w:line="440" w:lineRule="exact"/>
        <w:ind w:firstLine="480" w:firstLineChars="200"/>
        <w:rPr>
          <w:rFonts w:ascii="宋体" w:hAnsi="宋体" w:cs="宋体"/>
          <w:sz w:val="24"/>
        </w:rPr>
      </w:pPr>
      <w:r>
        <w:rPr>
          <w:rFonts w:hint="eastAsia" w:ascii="宋体" w:hAnsi="宋体" w:cs="宋体"/>
          <w:sz w:val="24"/>
        </w:rPr>
        <w:t>注：若为联合体形式中标，支付给联合体牵头单位。</w:t>
      </w:r>
    </w:p>
    <w:p>
      <w:pPr>
        <w:widowControl/>
        <w:kinsoku w:val="0"/>
        <w:autoSpaceDE w:val="0"/>
        <w:autoSpaceDN w:val="0"/>
        <w:adjustRightInd w:val="0"/>
        <w:snapToGrid w:val="0"/>
        <w:spacing w:before="179" w:line="219" w:lineRule="auto"/>
        <w:ind w:left="503"/>
        <w:jc w:val="left"/>
        <w:textAlignment w:val="baseline"/>
        <w:rPr>
          <w:rFonts w:cs="宋体" w:asciiTheme="minorEastAsia" w:hAnsiTheme="minorEastAsia" w:eastAsiaTheme="minorEastAsia"/>
          <w:b/>
          <w:bCs/>
          <w:snapToGrid w:val="0"/>
          <w:color w:val="000000"/>
          <w:spacing w:val="-12"/>
          <w:kern w:val="0"/>
          <w:sz w:val="24"/>
        </w:rPr>
      </w:pPr>
      <w:r>
        <w:rPr>
          <w:rFonts w:hint="eastAsia" w:cs="宋体" w:asciiTheme="minorEastAsia" w:hAnsiTheme="minorEastAsia" w:eastAsiaTheme="minorEastAsia"/>
          <w:b/>
          <w:bCs/>
          <w:snapToGrid w:val="0"/>
          <w:color w:val="000000"/>
          <w:spacing w:val="-12"/>
          <w:kern w:val="0"/>
          <w:sz w:val="24"/>
        </w:rPr>
        <w:t>四、履约保证金</w:t>
      </w:r>
    </w:p>
    <w:p>
      <w:pPr>
        <w:spacing w:line="440" w:lineRule="exact"/>
        <w:ind w:firstLine="480" w:firstLineChars="200"/>
        <w:rPr>
          <w:rFonts w:ascii="宋体" w:hAnsi="宋体" w:cs="宋体"/>
          <w:sz w:val="24"/>
        </w:rPr>
      </w:pPr>
      <w:r>
        <w:rPr>
          <w:rFonts w:hint="eastAsia" w:ascii="宋体" w:hAnsi="宋体" w:cs="宋体"/>
          <w:sz w:val="24"/>
        </w:rPr>
        <w:t>1.本项目成交后的履约保证金为项目成交价的5%，即</w:t>
      </w:r>
      <w:r>
        <w:rPr>
          <w:rFonts w:hint="eastAsia" w:ascii="宋体" w:hAnsi="宋体" w:cs="宋体"/>
          <w:sz w:val="24"/>
          <w:u w:val="single"/>
        </w:rPr>
        <w:t xml:space="preserve">             </w:t>
      </w:r>
      <w:r>
        <w:rPr>
          <w:rFonts w:hint="eastAsia" w:ascii="宋体" w:hAnsi="宋体" w:cs="宋体"/>
          <w:sz w:val="24"/>
        </w:rPr>
        <w:t>，乙方的履约保证金须在成交通知书发出之日起至合同签订前汇入甲方账户（应当以支票、汇票或者金融机构、担保机构出具的保函等非现金形式提交），乙方凭成交通知书与甲方签订合同。超期或未有协商，则视为自动放弃成交资格。</w:t>
      </w:r>
    </w:p>
    <w:p>
      <w:pPr>
        <w:spacing w:line="440" w:lineRule="exact"/>
        <w:ind w:firstLine="480" w:firstLineChars="200"/>
        <w:rPr>
          <w:rFonts w:ascii="宋体" w:hAnsi="宋体" w:cs="宋体"/>
          <w:sz w:val="24"/>
        </w:rPr>
      </w:pPr>
      <w:r>
        <w:rPr>
          <w:rFonts w:hint="eastAsia" w:ascii="宋体" w:hAnsi="宋体" w:cs="宋体"/>
          <w:sz w:val="24"/>
        </w:rPr>
        <w:t>2.乙方全部履约合同义务，经甲方验收合格无质量、进度等问题的，甲方在验收合格后一次性退还履约保证金；</w:t>
      </w:r>
    </w:p>
    <w:p>
      <w:pPr>
        <w:spacing w:line="440" w:lineRule="exact"/>
        <w:ind w:firstLine="480" w:firstLineChars="200"/>
        <w:rPr>
          <w:rFonts w:ascii="宋体" w:hAnsi="宋体" w:cs="宋体"/>
          <w:sz w:val="24"/>
        </w:rPr>
      </w:pPr>
      <w:r>
        <w:rPr>
          <w:rFonts w:hint="eastAsia" w:ascii="宋体" w:hAnsi="宋体" w:cs="宋体"/>
          <w:sz w:val="24"/>
        </w:rPr>
        <w:t>3.发生以下情况的，履约保证金不予退还或部分退还：</w:t>
      </w:r>
    </w:p>
    <w:p>
      <w:pPr>
        <w:spacing w:line="440" w:lineRule="exact"/>
        <w:ind w:firstLine="480" w:firstLineChars="200"/>
        <w:rPr>
          <w:rFonts w:ascii="宋体" w:hAnsi="宋体" w:cs="宋体"/>
          <w:sz w:val="24"/>
        </w:rPr>
      </w:pPr>
      <w:r>
        <w:rPr>
          <w:rFonts w:hint="eastAsia" w:ascii="宋体" w:hAnsi="宋体" w:cs="宋体"/>
          <w:sz w:val="24"/>
        </w:rPr>
        <w:t>a.签订合同后，乙方不履行合同义务的，甲方有权全额扣除履约保证金，全额不予退还，同时甲方亦有权终止合同，乙方还须承担相应的法律赔偿责任。</w:t>
      </w:r>
    </w:p>
    <w:p>
      <w:pPr>
        <w:spacing w:line="440" w:lineRule="exact"/>
        <w:ind w:firstLine="480" w:firstLineChars="200"/>
        <w:rPr>
          <w:rFonts w:ascii="宋体" w:hAnsi="宋体" w:cs="宋体"/>
          <w:sz w:val="24"/>
        </w:rPr>
      </w:pPr>
      <w:r>
        <w:rPr>
          <w:rFonts w:hint="eastAsia" w:ascii="宋体" w:hAnsi="宋体" w:cs="宋体"/>
          <w:sz w:val="24"/>
        </w:rPr>
        <w:t>b.乙方在履约过程中发生违约行为，给甲方造成损失的，甲方有权在乙方缴纳的履约保证金中予以扣款，以弥补甲方经济损失，不足的部分乙方另外补齐。</w:t>
      </w:r>
    </w:p>
    <w:p>
      <w:pPr>
        <w:widowControl/>
        <w:kinsoku w:val="0"/>
        <w:autoSpaceDE w:val="0"/>
        <w:autoSpaceDN w:val="0"/>
        <w:adjustRightInd w:val="0"/>
        <w:snapToGrid w:val="0"/>
        <w:spacing w:before="179" w:line="219" w:lineRule="auto"/>
        <w:ind w:left="503"/>
        <w:jc w:val="left"/>
        <w:textAlignment w:val="baseline"/>
        <w:rPr>
          <w:rFonts w:cs="宋体" w:asciiTheme="minorEastAsia" w:hAnsiTheme="minorEastAsia" w:eastAsiaTheme="minorEastAsia"/>
          <w:b/>
          <w:bCs/>
          <w:snapToGrid w:val="0"/>
          <w:color w:val="000000"/>
          <w:spacing w:val="-12"/>
          <w:kern w:val="0"/>
          <w:sz w:val="24"/>
        </w:rPr>
      </w:pPr>
      <w:r>
        <w:rPr>
          <w:rFonts w:hint="eastAsia" w:cs="宋体" w:asciiTheme="minorEastAsia" w:hAnsiTheme="minorEastAsia" w:eastAsiaTheme="minorEastAsia"/>
          <w:b/>
          <w:bCs/>
          <w:snapToGrid w:val="0"/>
          <w:color w:val="000000"/>
          <w:spacing w:val="-12"/>
          <w:kern w:val="0"/>
          <w:sz w:val="24"/>
        </w:rPr>
        <w:t>五、</w:t>
      </w:r>
      <w:r>
        <w:rPr>
          <w:rFonts w:cs="宋体" w:asciiTheme="minorEastAsia" w:hAnsiTheme="minorEastAsia" w:eastAsiaTheme="minorEastAsia"/>
          <w:b/>
          <w:bCs/>
          <w:snapToGrid w:val="0"/>
          <w:color w:val="000000"/>
          <w:spacing w:val="-12"/>
          <w:kern w:val="0"/>
          <w:sz w:val="24"/>
        </w:rPr>
        <w:t xml:space="preserve"> </w:t>
      </w:r>
      <w:r>
        <w:rPr>
          <w:rFonts w:hint="eastAsia" w:cs="宋体" w:asciiTheme="minorEastAsia" w:hAnsiTheme="minorEastAsia" w:eastAsiaTheme="minorEastAsia"/>
          <w:b/>
          <w:bCs/>
          <w:snapToGrid w:val="0"/>
          <w:color w:val="000000"/>
          <w:spacing w:val="-12"/>
          <w:kern w:val="0"/>
          <w:sz w:val="24"/>
        </w:rPr>
        <w:t>甲方的义务</w:t>
      </w:r>
    </w:p>
    <w:p>
      <w:pPr>
        <w:spacing w:line="440" w:lineRule="exact"/>
        <w:ind w:firstLine="480" w:firstLineChars="200"/>
        <w:rPr>
          <w:rFonts w:ascii="宋体" w:hAnsi="宋体" w:cs="宋体"/>
          <w:sz w:val="24"/>
        </w:rPr>
      </w:pPr>
      <w:r>
        <w:rPr>
          <w:rFonts w:hint="eastAsia" w:ascii="宋体" w:hAnsi="宋体" w:cs="宋体"/>
          <w:sz w:val="24"/>
        </w:rPr>
        <w:t>1.自合同签订之日起</w:t>
      </w:r>
      <w:r>
        <w:rPr>
          <w:rFonts w:ascii="宋体" w:hAnsi="宋体" w:cs="宋体"/>
          <w:sz w:val="24"/>
        </w:rPr>
        <w:t>5</w:t>
      </w:r>
      <w:r>
        <w:rPr>
          <w:rFonts w:hint="eastAsia" w:ascii="宋体" w:hAnsi="宋体" w:cs="宋体"/>
          <w:sz w:val="24"/>
        </w:rPr>
        <w:t>日内向乙方提供现有资料</w:t>
      </w:r>
      <w:r>
        <w:rPr>
          <w:rFonts w:ascii="宋体" w:hAnsi="宋体" w:cs="宋体"/>
          <w:sz w:val="24"/>
        </w:rPr>
        <w:t>(</w:t>
      </w:r>
      <w:r>
        <w:rPr>
          <w:rFonts w:hint="eastAsia" w:ascii="宋体" w:hAnsi="宋体" w:cs="宋体"/>
          <w:sz w:val="24"/>
        </w:rPr>
        <w:t>资料不全的部分乙方须自行处理</w:t>
      </w:r>
      <w:r>
        <w:rPr>
          <w:rFonts w:ascii="宋体" w:hAnsi="宋体" w:cs="宋体"/>
          <w:sz w:val="24"/>
        </w:rPr>
        <w:t>)</w:t>
      </w:r>
      <w:r>
        <w:rPr>
          <w:rFonts w:hint="eastAsia" w:ascii="宋体" w:hAnsi="宋体" w:cs="宋体"/>
          <w:sz w:val="24"/>
        </w:rPr>
        <w:t>。</w:t>
      </w:r>
    </w:p>
    <w:p>
      <w:pPr>
        <w:spacing w:line="440" w:lineRule="exact"/>
        <w:ind w:firstLine="480" w:firstLineChars="200"/>
        <w:rPr>
          <w:rFonts w:ascii="宋体" w:hAnsi="宋体" w:cs="宋体"/>
          <w:sz w:val="24"/>
        </w:rPr>
      </w:pPr>
      <w:r>
        <w:rPr>
          <w:rFonts w:hint="eastAsia" w:ascii="宋体" w:hAnsi="宋体" w:cs="宋体"/>
          <w:sz w:val="24"/>
        </w:rPr>
        <w:t>2.应当保证乙方的工作队伍顺利进入现场工作，并对乙方进场人员提供必要的工作条件。</w:t>
      </w:r>
    </w:p>
    <w:p>
      <w:pPr>
        <w:spacing w:line="440" w:lineRule="exact"/>
        <w:ind w:firstLine="480" w:firstLineChars="200"/>
        <w:rPr>
          <w:rFonts w:ascii="宋体" w:hAnsi="宋体" w:cs="宋体"/>
          <w:sz w:val="24"/>
        </w:rPr>
      </w:pPr>
      <w:r>
        <w:rPr>
          <w:rFonts w:hint="eastAsia" w:ascii="宋体" w:hAnsi="宋体" w:cs="宋体"/>
          <w:sz w:val="24"/>
        </w:rPr>
        <w:t>3.甲方保证服务款按时足额到位，以保证项目的顺利进行。</w:t>
      </w:r>
    </w:p>
    <w:p>
      <w:pPr>
        <w:spacing w:line="440" w:lineRule="exact"/>
        <w:ind w:firstLine="480" w:firstLineChars="200"/>
        <w:rPr>
          <w:rFonts w:ascii="宋体" w:hAnsi="宋体" w:cs="宋体"/>
          <w:sz w:val="24"/>
        </w:rPr>
      </w:pPr>
      <w:r>
        <w:rPr>
          <w:rFonts w:hint="eastAsia" w:ascii="宋体" w:hAnsi="宋体" w:cs="宋体"/>
          <w:sz w:val="24"/>
        </w:rPr>
        <w:t>4.在合同履行期间和履行完后，承担获取或知悉的涉密地理信息的保密责任，并与乙方签订保密协议</w:t>
      </w:r>
      <w:r>
        <w:rPr>
          <w:rFonts w:ascii="宋体" w:hAnsi="宋体" w:cs="宋体"/>
          <w:sz w:val="24"/>
        </w:rPr>
        <w:t>(</w:t>
      </w:r>
      <w:r>
        <w:rPr>
          <w:rFonts w:hint="eastAsia" w:ascii="宋体" w:hAnsi="宋体" w:cs="宋体"/>
          <w:sz w:val="24"/>
        </w:rPr>
        <w:t>如需要</w:t>
      </w:r>
      <w:r>
        <w:rPr>
          <w:rFonts w:ascii="宋体" w:hAnsi="宋体" w:cs="宋体"/>
          <w:sz w:val="24"/>
        </w:rPr>
        <w:t>)</w:t>
      </w:r>
      <w:r>
        <w:rPr>
          <w:rFonts w:hint="eastAsia" w:ascii="宋体" w:hAnsi="宋体" w:cs="宋体"/>
          <w:sz w:val="24"/>
        </w:rPr>
        <w:t>。</w:t>
      </w:r>
    </w:p>
    <w:p>
      <w:pPr>
        <w:widowControl/>
        <w:kinsoku w:val="0"/>
        <w:autoSpaceDE w:val="0"/>
        <w:autoSpaceDN w:val="0"/>
        <w:adjustRightInd w:val="0"/>
        <w:snapToGrid w:val="0"/>
        <w:spacing w:before="179" w:line="219" w:lineRule="auto"/>
        <w:ind w:left="503"/>
        <w:jc w:val="left"/>
        <w:textAlignment w:val="baseline"/>
        <w:rPr>
          <w:rFonts w:cs="宋体" w:asciiTheme="minorEastAsia" w:hAnsiTheme="minorEastAsia" w:eastAsiaTheme="minorEastAsia"/>
          <w:b/>
          <w:bCs/>
          <w:snapToGrid w:val="0"/>
          <w:color w:val="000000"/>
          <w:spacing w:val="-12"/>
          <w:kern w:val="0"/>
          <w:sz w:val="24"/>
        </w:rPr>
      </w:pPr>
      <w:r>
        <w:rPr>
          <w:rFonts w:hint="eastAsia" w:cs="宋体" w:asciiTheme="minorEastAsia" w:hAnsiTheme="minorEastAsia" w:eastAsiaTheme="minorEastAsia"/>
          <w:b/>
          <w:bCs/>
          <w:snapToGrid w:val="0"/>
          <w:color w:val="000000"/>
          <w:spacing w:val="-12"/>
          <w:kern w:val="0"/>
          <w:sz w:val="24"/>
        </w:rPr>
        <w:t>六、</w:t>
      </w:r>
      <w:r>
        <w:rPr>
          <w:rFonts w:cs="宋体" w:asciiTheme="minorEastAsia" w:hAnsiTheme="minorEastAsia" w:eastAsiaTheme="minorEastAsia"/>
          <w:b/>
          <w:bCs/>
          <w:snapToGrid w:val="0"/>
          <w:color w:val="000000"/>
          <w:spacing w:val="-12"/>
          <w:kern w:val="0"/>
          <w:sz w:val="24"/>
        </w:rPr>
        <w:t xml:space="preserve"> </w:t>
      </w:r>
      <w:r>
        <w:rPr>
          <w:rFonts w:hint="eastAsia" w:cs="宋体" w:asciiTheme="minorEastAsia" w:hAnsiTheme="minorEastAsia" w:eastAsiaTheme="minorEastAsia"/>
          <w:b/>
          <w:bCs/>
          <w:snapToGrid w:val="0"/>
          <w:color w:val="000000"/>
          <w:spacing w:val="-12"/>
          <w:kern w:val="0"/>
          <w:sz w:val="24"/>
        </w:rPr>
        <w:t>乙方的义务</w:t>
      </w:r>
    </w:p>
    <w:p>
      <w:pPr>
        <w:spacing w:line="440" w:lineRule="exact"/>
        <w:ind w:firstLine="480" w:firstLineChars="200"/>
        <w:rPr>
          <w:rFonts w:ascii="宋体" w:hAnsi="宋体" w:cs="宋体"/>
          <w:sz w:val="24"/>
        </w:rPr>
      </w:pPr>
      <w:r>
        <w:rPr>
          <w:rFonts w:hint="eastAsia" w:ascii="宋体" w:hAnsi="宋体" w:cs="宋体"/>
          <w:sz w:val="24"/>
        </w:rPr>
        <w:t>1.乙方根据甲方的有关资料和本合同的技术要求，完成本项目的最终成果，并交甲方审定以及通过审批部门组织的专家评估。</w:t>
      </w:r>
    </w:p>
    <w:p>
      <w:pPr>
        <w:spacing w:line="440" w:lineRule="exact"/>
        <w:ind w:firstLine="480" w:firstLineChars="200"/>
        <w:rPr>
          <w:rFonts w:ascii="宋体" w:hAnsi="宋体" w:cs="宋体"/>
          <w:sz w:val="24"/>
        </w:rPr>
      </w:pPr>
      <w:r>
        <w:rPr>
          <w:rFonts w:hint="eastAsia" w:ascii="宋体" w:hAnsi="宋体" w:cs="宋体"/>
          <w:sz w:val="24"/>
        </w:rPr>
        <w:t>2.乙方应当配合甲方在技术方案实施过程中提供必要的技术服务，如因不可抗力或其他特殊原因致使原技术方案难以实施的，乙方应当及时修正技术方案并按原审核审批程序报批。</w:t>
      </w:r>
    </w:p>
    <w:p>
      <w:pPr>
        <w:spacing w:line="440" w:lineRule="exact"/>
        <w:ind w:firstLine="480" w:firstLineChars="200"/>
        <w:rPr>
          <w:rFonts w:ascii="宋体" w:hAnsi="宋体" w:cs="宋体"/>
          <w:sz w:val="24"/>
        </w:rPr>
      </w:pPr>
      <w:r>
        <w:rPr>
          <w:rFonts w:hint="eastAsia" w:ascii="宋体" w:hAnsi="宋体" w:cs="宋体"/>
          <w:sz w:val="24"/>
        </w:rPr>
        <w:t>3.允许甲方内部使用乙方为执行本合同所提供的属于乙方所有的数据信息。</w:t>
      </w:r>
    </w:p>
    <w:p>
      <w:pPr>
        <w:spacing w:line="440" w:lineRule="exact"/>
        <w:ind w:firstLine="480" w:firstLineChars="200"/>
        <w:rPr>
          <w:rFonts w:ascii="宋体" w:hAnsi="宋体" w:cs="宋体"/>
          <w:sz w:val="24"/>
        </w:rPr>
      </w:pPr>
      <w:r>
        <w:rPr>
          <w:rFonts w:hint="eastAsia" w:ascii="宋体" w:hAnsi="宋体" w:cs="宋体"/>
          <w:sz w:val="24"/>
        </w:rPr>
        <w:t>4.乙方应准时组织施工队伍进场施工，按期完成施工任务，并保证施工安全、文明施工。</w:t>
      </w:r>
    </w:p>
    <w:p>
      <w:pPr>
        <w:spacing w:line="440" w:lineRule="exact"/>
        <w:ind w:firstLine="480" w:firstLineChars="200"/>
        <w:rPr>
          <w:rFonts w:ascii="宋体" w:hAnsi="宋体" w:cs="宋体"/>
          <w:sz w:val="24"/>
        </w:rPr>
      </w:pPr>
      <w:r>
        <w:rPr>
          <w:rFonts w:hint="eastAsia" w:ascii="宋体" w:hAnsi="宋体" w:cs="宋体"/>
          <w:sz w:val="24"/>
        </w:rPr>
        <w:t>（1）乙方须定期和不定期的对施工现场进行安全检查，及时发现和消除事故隐患，确保安全施工。</w:t>
      </w:r>
    </w:p>
    <w:p>
      <w:pPr>
        <w:spacing w:line="440" w:lineRule="exact"/>
        <w:ind w:firstLine="480" w:firstLineChars="200"/>
        <w:rPr>
          <w:rFonts w:ascii="宋体" w:hAnsi="宋体" w:cs="宋体"/>
          <w:sz w:val="24"/>
        </w:rPr>
      </w:pPr>
      <w:r>
        <w:rPr>
          <w:rFonts w:hint="eastAsia" w:ascii="宋体" w:hAnsi="宋体" w:cs="宋体"/>
          <w:sz w:val="24"/>
        </w:rPr>
        <w:t>（2）</w:t>
      </w:r>
      <w:r>
        <w:rPr>
          <w:rFonts w:ascii="宋体" w:hAnsi="宋体" w:cs="宋体"/>
          <w:sz w:val="24"/>
        </w:rPr>
        <w:t>乙方须对施工现场使用的安全防护用品及施工电器产品，每周进行检查一次，发现问题及时解决，并做好检查、维修记录入档。</w:t>
      </w:r>
    </w:p>
    <w:p>
      <w:pPr>
        <w:spacing w:line="440" w:lineRule="exact"/>
        <w:ind w:firstLine="480" w:firstLineChars="200"/>
        <w:rPr>
          <w:rFonts w:ascii="宋体" w:hAnsi="宋体" w:cs="宋体"/>
          <w:sz w:val="24"/>
        </w:rPr>
      </w:pPr>
      <w:r>
        <w:rPr>
          <w:rFonts w:hint="eastAsia" w:ascii="宋体" w:hAnsi="宋体" w:cs="宋体"/>
          <w:sz w:val="24"/>
        </w:rPr>
        <w:t>（3）</w:t>
      </w:r>
      <w:r>
        <w:rPr>
          <w:rFonts w:ascii="宋体" w:hAnsi="宋体" w:cs="宋体"/>
          <w:sz w:val="24"/>
        </w:rPr>
        <w:t>施工现场工人须统一戴安全帽穿安全服，不得穿拖鞋，光脚、光膀子施工。</w:t>
      </w:r>
    </w:p>
    <w:p>
      <w:pPr>
        <w:spacing w:line="440" w:lineRule="exact"/>
        <w:ind w:firstLine="480" w:firstLineChars="200"/>
        <w:rPr>
          <w:rFonts w:ascii="宋体" w:hAnsi="宋体" w:cs="宋体"/>
          <w:sz w:val="24"/>
        </w:rPr>
      </w:pPr>
      <w:r>
        <w:rPr>
          <w:rFonts w:hint="eastAsia" w:ascii="宋体" w:hAnsi="宋体" w:cs="宋体"/>
          <w:sz w:val="24"/>
        </w:rPr>
        <w:t>（4）</w:t>
      </w:r>
      <w:r>
        <w:rPr>
          <w:rFonts w:ascii="宋体" w:hAnsi="宋体" w:cs="宋体"/>
          <w:sz w:val="24"/>
        </w:rPr>
        <w:t>凡非本单位人员进入施工现场必须进行登记批准，严禁将小孩带入施工现场。</w:t>
      </w:r>
    </w:p>
    <w:p>
      <w:pPr>
        <w:spacing w:line="440" w:lineRule="exact"/>
        <w:ind w:firstLine="480" w:firstLineChars="200"/>
        <w:rPr>
          <w:rFonts w:ascii="宋体" w:hAnsi="宋体" w:cs="宋体"/>
          <w:sz w:val="24"/>
        </w:rPr>
      </w:pPr>
      <w:r>
        <w:rPr>
          <w:rFonts w:hint="eastAsia" w:ascii="宋体" w:hAnsi="宋体" w:cs="宋体"/>
          <w:sz w:val="24"/>
        </w:rPr>
        <w:t>（5）</w:t>
      </w:r>
      <w:r>
        <w:rPr>
          <w:rFonts w:ascii="宋体" w:hAnsi="宋体" w:cs="宋体"/>
          <w:sz w:val="24"/>
        </w:rPr>
        <w:t>施工期间，应当采取措施保持施工现场有条不紊，物料堆放整齐。项目所在地有关政府行政管理部门有特殊要求的，按其要求。</w:t>
      </w:r>
    </w:p>
    <w:p>
      <w:pPr>
        <w:spacing w:line="440" w:lineRule="exact"/>
        <w:ind w:firstLine="480" w:firstLineChars="200"/>
        <w:rPr>
          <w:rFonts w:ascii="宋体" w:hAnsi="宋体" w:cs="宋体"/>
          <w:sz w:val="24"/>
        </w:rPr>
      </w:pPr>
      <w:r>
        <w:rPr>
          <w:rFonts w:hint="eastAsia" w:ascii="宋体" w:hAnsi="宋体" w:cs="宋体"/>
          <w:sz w:val="24"/>
        </w:rPr>
        <w:t>（6）</w:t>
      </w:r>
      <w:r>
        <w:rPr>
          <w:rFonts w:ascii="宋体" w:hAnsi="宋体" w:cs="宋体"/>
          <w:sz w:val="24"/>
        </w:rPr>
        <w:t>严禁在施工现场乱搭盖、乱占道。</w:t>
      </w:r>
    </w:p>
    <w:p>
      <w:pPr>
        <w:spacing w:line="440" w:lineRule="exact"/>
        <w:ind w:firstLine="480" w:firstLineChars="200"/>
        <w:rPr>
          <w:rFonts w:ascii="宋体" w:hAnsi="宋体" w:cs="宋体"/>
          <w:sz w:val="24"/>
        </w:rPr>
      </w:pPr>
      <w:r>
        <w:rPr>
          <w:rFonts w:hint="eastAsia" w:ascii="宋体" w:hAnsi="宋体" w:cs="宋体"/>
          <w:sz w:val="24"/>
        </w:rPr>
        <w:t>（7）</w:t>
      </w:r>
      <w:r>
        <w:rPr>
          <w:rFonts w:ascii="宋体" w:hAnsi="宋体" w:cs="宋体"/>
          <w:sz w:val="24"/>
        </w:rPr>
        <w:t>应遵守工程建设安全生产有关管理规定，严格按安全标准组织施工，并随时接受行业安全检查人员依法实施的监督检查，采取必要的安全防护措施，消除事故隐患。</w:t>
      </w:r>
    </w:p>
    <w:p>
      <w:pPr>
        <w:spacing w:line="440" w:lineRule="exact"/>
        <w:ind w:firstLine="480" w:firstLineChars="200"/>
        <w:rPr>
          <w:rFonts w:ascii="宋体" w:hAnsi="宋体" w:cs="宋体"/>
          <w:sz w:val="24"/>
        </w:rPr>
      </w:pPr>
      <w:r>
        <w:rPr>
          <w:rFonts w:hint="eastAsia" w:ascii="宋体" w:hAnsi="宋体" w:cs="宋体"/>
          <w:sz w:val="24"/>
        </w:rPr>
        <w:t>（8）</w:t>
      </w:r>
      <w:r>
        <w:rPr>
          <w:rFonts w:ascii="宋体" w:hAnsi="宋体" w:cs="宋体"/>
          <w:sz w:val="24"/>
        </w:rPr>
        <w:t>乙方应根据甲方要求，随时清理施工现场，保持单位整洁。</w:t>
      </w:r>
    </w:p>
    <w:p>
      <w:pPr>
        <w:spacing w:line="440" w:lineRule="exact"/>
        <w:ind w:firstLine="482" w:firstLineChars="200"/>
        <w:rPr>
          <w:rFonts w:ascii="宋体" w:hAnsi="宋体" w:cs="宋体"/>
          <w:b/>
          <w:sz w:val="24"/>
        </w:rPr>
      </w:pPr>
      <w:r>
        <w:rPr>
          <w:rFonts w:hint="eastAsia" w:ascii="宋体" w:hAnsi="宋体" w:cs="宋体"/>
          <w:b/>
          <w:sz w:val="24"/>
        </w:rPr>
        <w:t>特别提醒：由于本项目除治措施实施主要时段在台风季和农历大潮期，且海洋潮流极易造成实施区域出现土方塌陷、港汊改道等海洋地质灾害，乙方在投标时已对此充分评估，并将相关防护和修复措施的费用考虑在总报价中，由此产生的一切抢险抢工以及返工等损失甲方均不负责，价格不调整。</w:t>
      </w:r>
    </w:p>
    <w:p>
      <w:pPr>
        <w:widowControl/>
        <w:kinsoku w:val="0"/>
        <w:autoSpaceDE w:val="0"/>
        <w:autoSpaceDN w:val="0"/>
        <w:adjustRightInd w:val="0"/>
        <w:snapToGrid w:val="0"/>
        <w:spacing w:before="179" w:line="219" w:lineRule="auto"/>
        <w:ind w:left="503"/>
        <w:jc w:val="left"/>
        <w:textAlignment w:val="baseline"/>
        <w:rPr>
          <w:rFonts w:cs="宋体" w:asciiTheme="minorEastAsia" w:hAnsiTheme="minorEastAsia" w:eastAsiaTheme="minorEastAsia"/>
          <w:b/>
          <w:bCs/>
          <w:snapToGrid w:val="0"/>
          <w:color w:val="000000"/>
          <w:spacing w:val="-12"/>
          <w:kern w:val="0"/>
          <w:sz w:val="24"/>
        </w:rPr>
      </w:pPr>
      <w:r>
        <w:rPr>
          <w:rFonts w:hint="eastAsia" w:cs="宋体" w:asciiTheme="minorEastAsia" w:hAnsiTheme="minorEastAsia" w:eastAsiaTheme="minorEastAsia"/>
          <w:b/>
          <w:bCs/>
          <w:snapToGrid w:val="0"/>
          <w:color w:val="000000"/>
          <w:spacing w:val="-12"/>
          <w:kern w:val="0"/>
          <w:sz w:val="24"/>
        </w:rPr>
        <w:t>七、互花米草设计方案成果归属</w:t>
      </w:r>
    </w:p>
    <w:p>
      <w:pPr>
        <w:spacing w:line="440" w:lineRule="exact"/>
        <w:ind w:firstLine="480" w:firstLineChars="200"/>
        <w:rPr>
          <w:rFonts w:ascii="宋体" w:hAnsi="宋体" w:cs="宋体"/>
          <w:sz w:val="24"/>
        </w:rPr>
      </w:pPr>
      <w:r>
        <w:rPr>
          <w:rFonts w:ascii="宋体" w:hAnsi="宋体" w:cs="宋体"/>
          <w:sz w:val="24"/>
        </w:rPr>
        <w:t>本项目最终成果的所有权、使用权和著作权归属于甲方所有，未经甲方许可，乙方不得擅自使用本项目的任何数据及相关资料。</w:t>
      </w:r>
    </w:p>
    <w:p>
      <w:pPr>
        <w:widowControl/>
        <w:kinsoku w:val="0"/>
        <w:autoSpaceDE w:val="0"/>
        <w:autoSpaceDN w:val="0"/>
        <w:adjustRightInd w:val="0"/>
        <w:snapToGrid w:val="0"/>
        <w:spacing w:before="179" w:line="219" w:lineRule="auto"/>
        <w:ind w:left="503"/>
        <w:jc w:val="left"/>
        <w:textAlignment w:val="baseline"/>
        <w:rPr>
          <w:rFonts w:cs="宋体" w:asciiTheme="minorEastAsia" w:hAnsiTheme="minorEastAsia" w:eastAsiaTheme="minorEastAsia"/>
          <w:b/>
          <w:bCs/>
          <w:snapToGrid w:val="0"/>
          <w:color w:val="000000"/>
          <w:spacing w:val="-12"/>
          <w:kern w:val="0"/>
          <w:sz w:val="24"/>
        </w:rPr>
      </w:pPr>
      <w:r>
        <w:rPr>
          <w:rFonts w:hint="eastAsia" w:cs="宋体" w:asciiTheme="minorEastAsia" w:hAnsiTheme="minorEastAsia" w:eastAsiaTheme="minorEastAsia"/>
          <w:b/>
          <w:bCs/>
          <w:snapToGrid w:val="0"/>
          <w:color w:val="000000"/>
          <w:spacing w:val="-12"/>
          <w:kern w:val="0"/>
          <w:sz w:val="24"/>
        </w:rPr>
        <w:t>八、违约责任</w:t>
      </w:r>
    </w:p>
    <w:p>
      <w:pPr>
        <w:spacing w:line="44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w:t>
      </w:r>
      <w:r>
        <w:rPr>
          <w:rFonts w:ascii="宋体" w:hAnsi="宋体" w:cs="宋体"/>
          <w:sz w:val="24"/>
        </w:rPr>
        <w:t>甲方</w:t>
      </w:r>
      <w:r>
        <w:rPr>
          <w:rFonts w:hint="eastAsia" w:ascii="宋体" w:hAnsi="宋体" w:cs="宋体"/>
          <w:sz w:val="24"/>
        </w:rPr>
        <w:t>未按合同约定及时支付合同价款的（因财政资金拨付延迟的除外），乙方有权进行督促</w:t>
      </w:r>
      <w:r>
        <w:rPr>
          <w:rFonts w:ascii="宋体" w:hAnsi="宋体" w:cs="宋体"/>
          <w:sz w:val="24"/>
        </w:rPr>
        <w:t>。</w:t>
      </w:r>
    </w:p>
    <w:p>
      <w:pPr>
        <w:spacing w:line="44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w:t>
      </w:r>
      <w:r>
        <w:rPr>
          <w:rFonts w:ascii="宋体" w:hAnsi="宋体" w:cs="宋体"/>
          <w:sz w:val="24"/>
        </w:rPr>
        <w:t>乙方提交的最终成果质量不合格的，乙方应负责无偿予以重新提交或者采取补救措施，以达到质量要求。因最终成果质量不符合合同要求(而又非甲方提供的资料原因所致)造成后果时，乙方应对因此造成的损失负赔偿责任，并承担相应的法律责任(由于甲方提供的资料原因产生的责任由甲方自己负责)。</w:t>
      </w:r>
    </w:p>
    <w:p>
      <w:pPr>
        <w:spacing w:line="440" w:lineRule="exact"/>
        <w:ind w:firstLine="480" w:firstLineChars="200"/>
        <w:rPr>
          <w:rFonts w:ascii="宋体" w:hAnsi="宋体" w:cs="宋体"/>
          <w:sz w:val="24"/>
        </w:rPr>
      </w:pPr>
      <w:r>
        <w:rPr>
          <w:rFonts w:ascii="宋体" w:hAnsi="宋体" w:cs="宋体"/>
          <w:sz w:val="24"/>
        </w:rPr>
        <w:t>3</w:t>
      </w:r>
      <w:r>
        <w:rPr>
          <w:rFonts w:hint="eastAsia" w:ascii="宋体" w:hAnsi="宋体" w:cs="宋体"/>
          <w:sz w:val="24"/>
        </w:rPr>
        <w:t>.</w:t>
      </w:r>
      <w:r>
        <w:rPr>
          <w:rFonts w:ascii="宋体" w:hAnsi="宋体" w:cs="宋体"/>
          <w:sz w:val="24"/>
        </w:rPr>
        <w:t>对于甲方提供的资料以及属于甲方的测绘地理信息成果，乙方有保密义务，不得以任何形式向第三方转让或者提供服务，否则甲方有权要求乙方支付违约金5万元/次，并追究相关法律责任。</w:t>
      </w:r>
    </w:p>
    <w:p>
      <w:pPr>
        <w:spacing w:line="440" w:lineRule="exact"/>
        <w:ind w:firstLine="480" w:firstLineChars="200"/>
        <w:rPr>
          <w:rFonts w:ascii="宋体" w:hAnsi="宋体" w:cs="宋体"/>
          <w:sz w:val="24"/>
        </w:rPr>
      </w:pPr>
      <w:r>
        <w:rPr>
          <w:rFonts w:ascii="宋体" w:hAnsi="宋体" w:cs="宋体"/>
          <w:sz w:val="24"/>
        </w:rPr>
        <w:t>4</w:t>
      </w:r>
      <w:r>
        <w:rPr>
          <w:rFonts w:hint="eastAsia" w:ascii="宋体" w:hAnsi="宋体" w:cs="宋体"/>
          <w:sz w:val="24"/>
        </w:rPr>
        <w:t>.乙方按合同约定完成除治措施后，需提交验收付款申请，甲方需及时组织验收并付款，不得无故拖延。</w:t>
      </w:r>
    </w:p>
    <w:p>
      <w:pPr>
        <w:spacing w:line="440" w:lineRule="exact"/>
        <w:ind w:firstLine="480" w:firstLineChars="200"/>
        <w:rPr>
          <w:rFonts w:ascii="宋体" w:hAnsi="宋体" w:cs="宋体"/>
          <w:sz w:val="24"/>
        </w:rPr>
      </w:pPr>
      <w:r>
        <w:rPr>
          <w:rFonts w:ascii="宋体" w:hAnsi="宋体" w:cs="宋体"/>
          <w:sz w:val="24"/>
        </w:rPr>
        <w:t>5</w:t>
      </w:r>
      <w:r>
        <w:rPr>
          <w:rFonts w:hint="eastAsia" w:ascii="宋体" w:hAnsi="宋体" w:cs="宋体"/>
          <w:sz w:val="24"/>
        </w:rPr>
        <w:t>.如果乙方没有按照合同规定的期限履行服务，甲方可要求乙方支付违约金。违约金按每天应交合同价的</w:t>
      </w:r>
      <w:r>
        <w:rPr>
          <w:rFonts w:ascii="宋体" w:hAnsi="宋体" w:cs="宋体"/>
          <w:sz w:val="24"/>
          <w:u w:val="single"/>
        </w:rPr>
        <w:t xml:space="preserve">  0.5% </w:t>
      </w:r>
      <w:r>
        <w:rPr>
          <w:rFonts w:hint="eastAsia" w:ascii="宋体" w:hAnsi="宋体" w:cs="宋体"/>
          <w:sz w:val="24"/>
        </w:rPr>
        <w:t>计收，但违约金的最高限额为合同价的</w:t>
      </w:r>
      <w:r>
        <w:rPr>
          <w:rFonts w:ascii="宋体" w:hAnsi="宋体" w:cs="宋体"/>
          <w:sz w:val="24"/>
          <w:u w:val="single"/>
        </w:rPr>
        <w:t>5%</w:t>
      </w:r>
      <w:r>
        <w:rPr>
          <w:rFonts w:hint="eastAsia" w:ascii="宋体" w:hAnsi="宋体" w:cs="宋体"/>
          <w:sz w:val="24"/>
        </w:rPr>
        <w:t>，如果达到最高限额，甲方有权解除合同。</w:t>
      </w:r>
    </w:p>
    <w:p>
      <w:pPr>
        <w:spacing w:line="440" w:lineRule="exact"/>
        <w:ind w:firstLine="480" w:firstLineChars="200"/>
        <w:rPr>
          <w:rFonts w:ascii="宋体" w:hAnsi="宋体" w:cs="宋体"/>
          <w:sz w:val="24"/>
        </w:rPr>
      </w:pPr>
      <w:r>
        <w:rPr>
          <w:rFonts w:ascii="宋体" w:hAnsi="宋体" w:cs="宋体"/>
          <w:sz w:val="24"/>
        </w:rPr>
        <w:t>6</w:t>
      </w:r>
      <w:r>
        <w:rPr>
          <w:rFonts w:hint="eastAsia" w:ascii="宋体" w:hAnsi="宋体" w:cs="宋体"/>
          <w:sz w:val="24"/>
        </w:rPr>
        <w:t>.乙方擅自转包本合同标的的，甲方有权解除合同，并可要求乙方支付违约金</w:t>
      </w:r>
      <w:r>
        <w:rPr>
          <w:rFonts w:ascii="宋体" w:hAnsi="宋体" w:cs="宋体"/>
          <w:sz w:val="24"/>
        </w:rPr>
        <w:t>5</w:t>
      </w:r>
      <w:r>
        <w:rPr>
          <w:rFonts w:hint="eastAsia" w:ascii="宋体" w:hAnsi="宋体" w:cs="宋体"/>
          <w:sz w:val="24"/>
        </w:rPr>
        <w:t>万元</w:t>
      </w:r>
      <w:r>
        <w:rPr>
          <w:rFonts w:ascii="宋体" w:hAnsi="宋体" w:cs="宋体"/>
          <w:sz w:val="24"/>
        </w:rPr>
        <w:t>/</w:t>
      </w:r>
      <w:r>
        <w:rPr>
          <w:rFonts w:hint="eastAsia" w:ascii="宋体" w:hAnsi="宋体" w:cs="宋体"/>
          <w:sz w:val="24"/>
        </w:rPr>
        <w:t>次。</w:t>
      </w:r>
    </w:p>
    <w:p>
      <w:pPr>
        <w:widowControl/>
        <w:kinsoku w:val="0"/>
        <w:autoSpaceDE w:val="0"/>
        <w:autoSpaceDN w:val="0"/>
        <w:adjustRightInd w:val="0"/>
        <w:snapToGrid w:val="0"/>
        <w:spacing w:before="179" w:line="219" w:lineRule="auto"/>
        <w:ind w:left="503"/>
        <w:jc w:val="left"/>
        <w:textAlignment w:val="baseline"/>
        <w:rPr>
          <w:rFonts w:cs="宋体" w:asciiTheme="minorEastAsia" w:hAnsiTheme="minorEastAsia" w:eastAsiaTheme="minorEastAsia"/>
          <w:b/>
          <w:bCs/>
          <w:snapToGrid w:val="0"/>
          <w:color w:val="000000"/>
          <w:spacing w:val="-12"/>
          <w:kern w:val="0"/>
          <w:sz w:val="24"/>
        </w:rPr>
      </w:pPr>
      <w:r>
        <w:rPr>
          <w:rFonts w:hint="eastAsia" w:cs="宋体" w:asciiTheme="minorEastAsia" w:hAnsiTheme="minorEastAsia" w:eastAsiaTheme="minorEastAsia"/>
          <w:b/>
          <w:bCs/>
          <w:snapToGrid w:val="0"/>
          <w:color w:val="000000"/>
          <w:spacing w:val="-12"/>
          <w:kern w:val="0"/>
          <w:sz w:val="24"/>
        </w:rPr>
        <w:t>九</w:t>
      </w:r>
      <w:r>
        <w:rPr>
          <w:rFonts w:cs="宋体" w:asciiTheme="minorEastAsia" w:hAnsiTheme="minorEastAsia" w:eastAsiaTheme="minorEastAsia"/>
          <w:b/>
          <w:bCs/>
          <w:snapToGrid w:val="0"/>
          <w:color w:val="000000"/>
          <w:spacing w:val="-12"/>
          <w:kern w:val="0"/>
          <w:sz w:val="24"/>
        </w:rPr>
        <w:t xml:space="preserve"> </w:t>
      </w:r>
      <w:r>
        <w:rPr>
          <w:rFonts w:hint="eastAsia" w:cs="宋体" w:asciiTheme="minorEastAsia" w:hAnsiTheme="minorEastAsia" w:eastAsiaTheme="minorEastAsia"/>
          <w:b/>
          <w:bCs/>
          <w:snapToGrid w:val="0"/>
          <w:color w:val="000000"/>
          <w:spacing w:val="-12"/>
          <w:kern w:val="0"/>
          <w:sz w:val="24"/>
        </w:rPr>
        <w:t>、不可抗力的处理</w:t>
      </w:r>
    </w:p>
    <w:p>
      <w:pPr>
        <w:spacing w:line="44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.在合同有效期内，任何一方因不可抗力事件导致不能履行合同，则合同履行期可延长，其延长期与不可抗力影响期相同。</w:t>
      </w:r>
    </w:p>
    <w:p>
      <w:pPr>
        <w:spacing w:line="44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.不可抗力事件发生后，应立即通知对方，并寄送有关权威机构出具的证明。</w:t>
      </w:r>
    </w:p>
    <w:p>
      <w:pPr>
        <w:spacing w:line="440" w:lineRule="exact"/>
        <w:ind w:firstLine="480" w:firstLineChars="200"/>
        <w:rPr>
          <w:rFonts w:ascii="宋体" w:hAnsi="宋体" w:cs="宋体"/>
          <w:sz w:val="24"/>
        </w:rPr>
      </w:pPr>
      <w:r>
        <w:rPr>
          <w:rFonts w:ascii="宋体" w:hAnsi="宋体" w:cs="宋体"/>
          <w:sz w:val="24"/>
        </w:rPr>
        <w:t>3</w:t>
      </w:r>
      <w:r>
        <w:rPr>
          <w:rFonts w:hint="eastAsia" w:ascii="宋体" w:hAnsi="宋体" w:cs="宋体"/>
          <w:sz w:val="24"/>
        </w:rPr>
        <w:t>.不可抗力事件延续</w:t>
      </w:r>
      <w:r>
        <w:rPr>
          <w:rFonts w:ascii="宋体" w:hAnsi="宋体" w:cs="宋体"/>
          <w:sz w:val="24"/>
        </w:rPr>
        <w:t>120</w:t>
      </w:r>
      <w:r>
        <w:rPr>
          <w:rFonts w:hint="eastAsia" w:ascii="宋体" w:hAnsi="宋体" w:cs="宋体"/>
          <w:sz w:val="24"/>
        </w:rPr>
        <w:t>天以上，双方应通过友好协商，确定是否继续履行合同。</w:t>
      </w:r>
    </w:p>
    <w:p>
      <w:pPr>
        <w:widowControl/>
        <w:kinsoku w:val="0"/>
        <w:autoSpaceDE w:val="0"/>
        <w:autoSpaceDN w:val="0"/>
        <w:adjustRightInd w:val="0"/>
        <w:snapToGrid w:val="0"/>
        <w:spacing w:before="179" w:line="219" w:lineRule="auto"/>
        <w:ind w:left="503"/>
        <w:jc w:val="left"/>
        <w:textAlignment w:val="baseline"/>
        <w:rPr>
          <w:rFonts w:cs="宋体" w:asciiTheme="minorEastAsia" w:hAnsiTheme="minorEastAsia" w:eastAsiaTheme="minorEastAsia"/>
          <w:b/>
          <w:bCs/>
          <w:snapToGrid w:val="0"/>
          <w:color w:val="000000"/>
          <w:spacing w:val="-12"/>
          <w:kern w:val="0"/>
          <w:sz w:val="24"/>
        </w:rPr>
      </w:pPr>
      <w:r>
        <w:rPr>
          <w:rFonts w:cs="宋体" w:asciiTheme="minorEastAsia" w:hAnsiTheme="minorEastAsia" w:eastAsiaTheme="minorEastAsia"/>
          <w:b/>
          <w:bCs/>
          <w:snapToGrid w:val="0"/>
          <w:color w:val="000000"/>
          <w:spacing w:val="-12"/>
          <w:kern w:val="0"/>
          <w:sz w:val="24"/>
        </w:rPr>
        <w:t>十、合同纠纷</w:t>
      </w:r>
    </w:p>
    <w:p>
      <w:pPr>
        <w:spacing w:line="440" w:lineRule="exact"/>
        <w:ind w:firstLine="480" w:firstLineChars="200"/>
        <w:rPr>
          <w:rFonts w:ascii="宋体" w:hAnsi="宋体" w:cs="宋体"/>
          <w:sz w:val="24"/>
        </w:rPr>
      </w:pPr>
      <w:r>
        <w:rPr>
          <w:rFonts w:hint="eastAsia" w:ascii="宋体" w:hAnsi="宋体" w:cs="仿宋"/>
          <w:sz w:val="24"/>
        </w:rPr>
        <w:t>双方本着友好合作的态度，对合同履行过程中发生的违约行为进行及时的协商解决，如不能协商解决可向南通仲裁委员会申请仲裁。</w:t>
      </w:r>
    </w:p>
    <w:p>
      <w:pPr>
        <w:widowControl/>
        <w:kinsoku w:val="0"/>
        <w:autoSpaceDE w:val="0"/>
        <w:autoSpaceDN w:val="0"/>
        <w:adjustRightInd w:val="0"/>
        <w:snapToGrid w:val="0"/>
        <w:spacing w:before="179" w:line="219" w:lineRule="auto"/>
        <w:ind w:left="503"/>
        <w:jc w:val="left"/>
        <w:textAlignment w:val="baseline"/>
        <w:rPr>
          <w:rFonts w:cs="宋体" w:asciiTheme="minorEastAsia" w:hAnsiTheme="minorEastAsia" w:eastAsiaTheme="minorEastAsia"/>
          <w:b/>
          <w:bCs/>
          <w:snapToGrid w:val="0"/>
          <w:color w:val="000000"/>
          <w:spacing w:val="-12"/>
          <w:kern w:val="0"/>
          <w:sz w:val="24"/>
        </w:rPr>
      </w:pPr>
      <w:r>
        <w:rPr>
          <w:rFonts w:hint="eastAsia" w:cs="宋体" w:asciiTheme="minorEastAsia" w:hAnsiTheme="minorEastAsia" w:eastAsiaTheme="minorEastAsia"/>
          <w:b/>
          <w:bCs/>
          <w:snapToGrid w:val="0"/>
          <w:color w:val="000000"/>
          <w:spacing w:val="-12"/>
          <w:kern w:val="0"/>
          <w:sz w:val="24"/>
        </w:rPr>
        <w:t>十一、其他条款</w:t>
      </w:r>
    </w:p>
    <w:p>
      <w:pPr>
        <w:spacing w:line="440" w:lineRule="exact"/>
        <w:ind w:firstLine="480" w:firstLineChars="200"/>
        <w:rPr>
          <w:rFonts w:ascii="宋体" w:hAnsi="宋体" w:cs="宋体"/>
          <w:sz w:val="24"/>
        </w:rPr>
      </w:pPr>
      <w:r>
        <w:rPr>
          <w:rFonts w:hint="eastAsia" w:ascii="宋体" w:hAnsi="宋体" w:cs="宋体"/>
          <w:sz w:val="24"/>
        </w:rPr>
        <w:t>因不可抗力或特殊原因，甲方技术方案有调整的，乙方须无条件配合，执行新的调整方案，由此产生的费用和工期变更由双方协商解决；乙方不得擅自调整或变更技术方案，擅自调整或者变更技术方案的，合同作废并承担因调整技术方案的产生的一切损失</w:t>
      </w:r>
      <w:r>
        <w:rPr>
          <w:rFonts w:ascii="宋体" w:hAnsi="宋体" w:cs="宋体"/>
          <w:sz w:val="24"/>
        </w:rPr>
        <w:t>(</w:t>
      </w:r>
      <w:r>
        <w:rPr>
          <w:rFonts w:hint="eastAsia" w:ascii="宋体" w:hAnsi="宋体" w:cs="宋体"/>
          <w:sz w:val="24"/>
        </w:rPr>
        <w:t>包含各种次生损失</w:t>
      </w:r>
      <w:r>
        <w:rPr>
          <w:rFonts w:ascii="宋体" w:hAnsi="宋体" w:cs="宋体"/>
          <w:sz w:val="24"/>
        </w:rPr>
        <w:t>)</w:t>
      </w:r>
      <w:r>
        <w:rPr>
          <w:rFonts w:hint="eastAsia" w:ascii="宋体" w:hAnsi="宋体" w:cs="宋体"/>
          <w:sz w:val="24"/>
        </w:rPr>
        <w:t>。</w:t>
      </w:r>
    </w:p>
    <w:p>
      <w:pPr>
        <w:widowControl/>
        <w:kinsoku w:val="0"/>
        <w:autoSpaceDE w:val="0"/>
        <w:autoSpaceDN w:val="0"/>
        <w:adjustRightInd w:val="0"/>
        <w:snapToGrid w:val="0"/>
        <w:spacing w:before="179" w:line="219" w:lineRule="auto"/>
        <w:ind w:left="503"/>
        <w:jc w:val="left"/>
        <w:textAlignment w:val="baseline"/>
        <w:rPr>
          <w:rFonts w:cs="宋体" w:asciiTheme="minorEastAsia" w:hAnsiTheme="minorEastAsia" w:eastAsiaTheme="minorEastAsia"/>
          <w:b/>
          <w:bCs/>
          <w:snapToGrid w:val="0"/>
          <w:color w:val="000000"/>
          <w:spacing w:val="-12"/>
          <w:kern w:val="0"/>
          <w:sz w:val="24"/>
        </w:rPr>
      </w:pPr>
      <w:r>
        <w:rPr>
          <w:rFonts w:hint="eastAsia" w:cs="宋体" w:asciiTheme="minorEastAsia" w:hAnsiTheme="minorEastAsia" w:eastAsiaTheme="minorEastAsia"/>
          <w:b/>
          <w:bCs/>
          <w:snapToGrid w:val="0"/>
          <w:color w:val="000000"/>
          <w:spacing w:val="-12"/>
          <w:kern w:val="0"/>
          <w:sz w:val="24"/>
        </w:rPr>
        <w:t>十二、本合同由下列文件共同构成</w:t>
      </w:r>
    </w:p>
    <w:p>
      <w:pPr>
        <w:spacing w:line="44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.本合同书；</w:t>
      </w:r>
    </w:p>
    <w:p>
      <w:pPr>
        <w:spacing w:line="44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.成交通知书；</w:t>
      </w:r>
    </w:p>
    <w:p>
      <w:pPr>
        <w:spacing w:line="440" w:lineRule="exact"/>
        <w:ind w:firstLine="480" w:firstLineChars="200"/>
        <w:rPr>
          <w:rFonts w:ascii="宋体" w:hAnsi="宋体" w:cs="宋体"/>
          <w:sz w:val="24"/>
        </w:rPr>
      </w:pPr>
      <w:r>
        <w:rPr>
          <w:rFonts w:ascii="宋体" w:hAnsi="宋体" w:cs="宋体"/>
          <w:sz w:val="24"/>
        </w:rPr>
        <w:t>3</w:t>
      </w:r>
      <w:r>
        <w:rPr>
          <w:rFonts w:hint="eastAsia" w:ascii="宋体" w:hAnsi="宋体" w:cs="宋体"/>
          <w:sz w:val="24"/>
        </w:rPr>
        <w:t>.采购人的招标文件及其补充</w:t>
      </w:r>
      <w:r>
        <w:rPr>
          <w:rFonts w:ascii="宋体" w:hAnsi="宋体" w:cs="宋体"/>
          <w:sz w:val="24"/>
        </w:rPr>
        <w:t>(</w:t>
      </w:r>
      <w:r>
        <w:rPr>
          <w:rFonts w:hint="eastAsia" w:ascii="宋体" w:hAnsi="宋体" w:cs="宋体"/>
          <w:sz w:val="24"/>
        </w:rPr>
        <w:t>答疑</w:t>
      </w:r>
      <w:r>
        <w:rPr>
          <w:rFonts w:ascii="宋体" w:hAnsi="宋体" w:cs="宋体"/>
          <w:sz w:val="24"/>
        </w:rPr>
        <w:t>)</w:t>
      </w:r>
      <w:r>
        <w:rPr>
          <w:rFonts w:hint="eastAsia" w:ascii="宋体" w:hAnsi="宋体" w:cs="宋体"/>
          <w:sz w:val="24"/>
        </w:rPr>
        <w:t>资料；</w:t>
      </w:r>
    </w:p>
    <w:p>
      <w:pPr>
        <w:spacing w:line="440" w:lineRule="exact"/>
        <w:ind w:firstLine="480" w:firstLineChars="200"/>
        <w:rPr>
          <w:rFonts w:ascii="宋体" w:hAnsi="宋体" w:cs="宋体"/>
          <w:sz w:val="24"/>
        </w:rPr>
      </w:pPr>
      <w:r>
        <w:rPr>
          <w:rFonts w:ascii="宋体" w:hAnsi="宋体" w:cs="宋体"/>
          <w:sz w:val="24"/>
        </w:rPr>
        <w:t>4</w:t>
      </w:r>
      <w:r>
        <w:rPr>
          <w:rFonts w:hint="eastAsia" w:ascii="宋体" w:hAnsi="宋体" w:cs="宋体"/>
          <w:sz w:val="24"/>
        </w:rPr>
        <w:t>.成交供应商的投标文件及其补充</w:t>
      </w:r>
      <w:r>
        <w:rPr>
          <w:rFonts w:ascii="宋体" w:hAnsi="宋体" w:cs="宋体"/>
          <w:sz w:val="24"/>
        </w:rPr>
        <w:t>(</w:t>
      </w:r>
      <w:r>
        <w:rPr>
          <w:rFonts w:hint="eastAsia" w:ascii="宋体" w:hAnsi="宋体" w:cs="宋体"/>
          <w:sz w:val="24"/>
        </w:rPr>
        <w:t>澄清</w:t>
      </w:r>
      <w:r>
        <w:rPr>
          <w:rFonts w:ascii="宋体" w:hAnsi="宋体" w:cs="宋体"/>
          <w:sz w:val="24"/>
        </w:rPr>
        <w:t>)</w:t>
      </w:r>
      <w:r>
        <w:rPr>
          <w:rFonts w:hint="eastAsia" w:ascii="宋体" w:hAnsi="宋体" w:cs="宋体"/>
          <w:sz w:val="24"/>
        </w:rPr>
        <w:t>资料。</w:t>
      </w:r>
    </w:p>
    <w:p>
      <w:pPr>
        <w:spacing w:line="440" w:lineRule="exact"/>
        <w:ind w:firstLine="482" w:firstLineChars="200"/>
        <w:rPr>
          <w:rFonts w:ascii="宋体" w:hAnsi="宋体" w:cs="宋体"/>
          <w:sz w:val="24"/>
        </w:rPr>
      </w:pPr>
      <w:r>
        <w:rPr>
          <w:rFonts w:hint="eastAsia" w:ascii="宋体" w:hAnsi="宋体" w:cs="宋体"/>
          <w:b/>
          <w:sz w:val="24"/>
        </w:rPr>
        <w:t>十三、</w:t>
      </w:r>
      <w:r>
        <w:rPr>
          <w:rFonts w:hint="eastAsia" w:ascii="宋体" w:hAnsi="宋体" w:cs="宋体"/>
          <w:sz w:val="24"/>
        </w:rPr>
        <w:t>本合同未尽事宜，由甲、乙双方依据招标文件、成交供应商的投标文件另</w:t>
      </w:r>
      <w:r>
        <w:rPr>
          <w:rFonts w:ascii="宋体" w:hAnsi="宋体" w:cs="宋体"/>
          <w:sz w:val="24"/>
        </w:rPr>
        <w:t>行协商解决。</w:t>
      </w:r>
    </w:p>
    <w:p>
      <w:pPr>
        <w:spacing w:line="440" w:lineRule="exact"/>
        <w:ind w:firstLine="482" w:firstLineChars="200"/>
        <w:rPr>
          <w:rFonts w:ascii="宋体" w:hAnsi="宋体" w:cs="仿宋"/>
          <w:sz w:val="24"/>
        </w:rPr>
      </w:pPr>
      <w:r>
        <w:rPr>
          <w:rFonts w:hint="eastAsia" w:ascii="宋体" w:hAnsi="宋体" w:cs="宋体"/>
          <w:b/>
          <w:sz w:val="24"/>
        </w:rPr>
        <w:t>十四、</w:t>
      </w:r>
      <w:r>
        <w:rPr>
          <w:rFonts w:hint="eastAsia" w:ascii="宋体" w:hAnsi="宋体" w:cs="宋体"/>
          <w:sz w:val="24"/>
        </w:rPr>
        <w:t>本</w:t>
      </w:r>
      <w:r>
        <w:rPr>
          <w:rFonts w:hint="eastAsia" w:ascii="宋体" w:hAnsi="宋体" w:cs="仿宋"/>
          <w:sz w:val="24"/>
        </w:rPr>
        <w:t>合同壹式拾份，甲乙双方各执伍份，每份合同均具有同等法律效力。</w:t>
      </w:r>
    </w:p>
    <w:p>
      <w:pPr>
        <w:spacing w:line="440" w:lineRule="exact"/>
        <w:ind w:firstLine="482" w:firstLineChars="200"/>
        <w:rPr>
          <w:rFonts w:ascii="宋体" w:hAnsi="宋体" w:cs="宋体"/>
          <w:sz w:val="24"/>
        </w:rPr>
      </w:pPr>
      <w:r>
        <w:rPr>
          <w:rFonts w:hint="eastAsia" w:ascii="宋体" w:hAnsi="宋体" w:cs="宋体"/>
          <w:b/>
          <w:sz w:val="24"/>
        </w:rPr>
        <w:t>十五、</w:t>
      </w:r>
      <w:r>
        <w:rPr>
          <w:rFonts w:hint="eastAsia" w:ascii="宋体" w:hAnsi="宋体" w:cs="宋体"/>
          <w:sz w:val="24"/>
        </w:rPr>
        <w:t>合同修改：除甲乙双方签署书面修改、补充协议，并成为本合同不可分割的一部分之外，本合同条件不得有任何实质性变化或修改。</w:t>
      </w:r>
    </w:p>
    <w:p/>
    <w:p>
      <w:pPr>
        <w:pStyle w:val="19"/>
      </w:pPr>
    </w:p>
    <w:p>
      <w:pPr>
        <w:spacing w:line="440" w:lineRule="exact"/>
        <w:rPr>
          <w:rFonts w:ascii="宋体" w:hAnsi="宋体" w:cs="仿宋"/>
          <w:sz w:val="24"/>
        </w:rPr>
      </w:pPr>
      <w:r>
        <w:rPr>
          <w:rFonts w:hint="eastAsia" w:ascii="宋体" w:hAnsi="宋体" w:cs="仿宋"/>
          <w:sz w:val="24"/>
        </w:rPr>
        <w:t>甲方（盖章）：</w:t>
      </w:r>
      <w:r>
        <w:rPr>
          <w:rFonts w:ascii="宋体" w:hAnsi="宋体" w:cs="Calibri"/>
          <w:sz w:val="24"/>
        </w:rPr>
        <w:t>            </w:t>
      </w:r>
      <w:r>
        <w:rPr>
          <w:rFonts w:hint="eastAsia" w:ascii="宋体" w:hAnsi="宋体" w:cs="仿宋"/>
          <w:sz w:val="24"/>
        </w:rPr>
        <w:t xml:space="preserve">   乙方（盖章）：</w:t>
      </w:r>
      <w:r>
        <w:rPr>
          <w:rFonts w:ascii="宋体" w:hAnsi="宋体" w:cs="Calibri"/>
          <w:sz w:val="24"/>
        </w:rPr>
        <w:t>   </w:t>
      </w:r>
    </w:p>
    <w:p>
      <w:pPr>
        <w:spacing w:line="440" w:lineRule="exact"/>
        <w:rPr>
          <w:rFonts w:ascii="宋体" w:hAnsi="宋体" w:cs="仿宋"/>
          <w:sz w:val="24"/>
        </w:rPr>
      </w:pPr>
      <w:r>
        <w:rPr>
          <w:rFonts w:hint="eastAsia" w:ascii="宋体" w:hAnsi="宋体" w:cs="仿宋"/>
          <w:sz w:val="24"/>
        </w:rPr>
        <w:t>法定代表人（签字）：</w:t>
      </w:r>
      <w:r>
        <w:rPr>
          <w:rFonts w:ascii="宋体" w:hAnsi="宋体" w:cs="Calibri"/>
          <w:sz w:val="24"/>
        </w:rPr>
        <w:t>        </w:t>
      </w:r>
      <w:r>
        <w:rPr>
          <w:rFonts w:hint="eastAsia" w:ascii="宋体" w:hAnsi="宋体" w:cs="仿宋"/>
          <w:sz w:val="24"/>
        </w:rPr>
        <w:t xml:space="preserve">     法定代表人（签字）：</w:t>
      </w:r>
      <w:r>
        <w:rPr>
          <w:rFonts w:ascii="宋体" w:hAnsi="宋体" w:cs="Calibri"/>
          <w:sz w:val="24"/>
        </w:rPr>
        <w:t>     </w:t>
      </w:r>
    </w:p>
    <w:p>
      <w:pPr>
        <w:spacing w:line="440" w:lineRule="exact"/>
        <w:rPr>
          <w:rFonts w:ascii="宋体" w:hAnsi="宋体" w:cs="仿宋"/>
          <w:sz w:val="24"/>
        </w:rPr>
      </w:pPr>
      <w:r>
        <w:rPr>
          <w:rFonts w:hint="eastAsia" w:ascii="宋体" w:hAnsi="宋体" w:cs="仿宋"/>
          <w:sz w:val="24"/>
        </w:rPr>
        <w:t>（或）委托代理人（签字）：</w:t>
      </w:r>
      <w:r>
        <w:rPr>
          <w:rFonts w:ascii="宋体" w:hAnsi="宋体" w:cs="Calibri"/>
          <w:sz w:val="24"/>
        </w:rPr>
        <w:t>       </w:t>
      </w:r>
      <w:r>
        <w:rPr>
          <w:rFonts w:hint="eastAsia" w:ascii="宋体" w:hAnsi="宋体" w:cs="仿宋"/>
          <w:sz w:val="24"/>
        </w:rPr>
        <w:t>（或）委托代理人（签字）：</w:t>
      </w:r>
      <w:r>
        <w:rPr>
          <w:rFonts w:ascii="宋体" w:hAnsi="宋体" w:cs="Calibri"/>
          <w:sz w:val="24"/>
        </w:rPr>
        <w:t>     </w:t>
      </w:r>
    </w:p>
    <w:p>
      <w:pPr>
        <w:spacing w:line="440" w:lineRule="exact"/>
        <w:rPr>
          <w:rFonts w:ascii="宋体" w:hAnsi="宋体" w:cs="仿宋"/>
          <w:sz w:val="24"/>
        </w:rPr>
      </w:pPr>
      <w:r>
        <w:rPr>
          <w:rFonts w:hint="eastAsia" w:ascii="宋体" w:hAnsi="宋体" w:cs="仿宋"/>
          <w:sz w:val="24"/>
        </w:rPr>
        <w:t>开户银行：</w:t>
      </w:r>
      <w:r>
        <w:rPr>
          <w:rFonts w:ascii="宋体" w:hAnsi="宋体" w:cs="Calibri"/>
          <w:sz w:val="24"/>
        </w:rPr>
        <w:t>            </w:t>
      </w:r>
      <w:r>
        <w:rPr>
          <w:rFonts w:hint="eastAsia" w:ascii="宋体" w:hAnsi="宋体" w:cs="仿宋"/>
          <w:sz w:val="24"/>
        </w:rPr>
        <w:t xml:space="preserve">       开户银行：</w:t>
      </w:r>
      <w:r>
        <w:rPr>
          <w:rFonts w:ascii="宋体" w:hAnsi="宋体" w:cs="Calibri"/>
          <w:sz w:val="24"/>
        </w:rPr>
        <w:t> </w:t>
      </w:r>
    </w:p>
    <w:p>
      <w:pPr>
        <w:spacing w:line="440" w:lineRule="exact"/>
        <w:rPr>
          <w:rFonts w:ascii="宋体" w:hAnsi="宋体" w:cs="仿宋"/>
          <w:sz w:val="24"/>
        </w:rPr>
      </w:pPr>
      <w:r>
        <w:rPr>
          <w:rFonts w:hint="eastAsia" w:ascii="宋体" w:hAnsi="宋体" w:cs="仿宋"/>
          <w:sz w:val="24"/>
        </w:rPr>
        <w:t>账</w:t>
      </w:r>
      <w:r>
        <w:rPr>
          <w:rFonts w:ascii="宋体" w:hAnsi="宋体" w:cs="Calibri"/>
          <w:sz w:val="24"/>
        </w:rPr>
        <w:t>  </w:t>
      </w:r>
      <w:r>
        <w:rPr>
          <w:rFonts w:hint="eastAsia" w:ascii="宋体" w:hAnsi="宋体" w:cs="仿宋"/>
          <w:sz w:val="24"/>
        </w:rPr>
        <w:t>号：</w:t>
      </w:r>
      <w:r>
        <w:rPr>
          <w:rFonts w:ascii="宋体" w:hAnsi="宋体" w:cs="Calibri"/>
          <w:sz w:val="24"/>
        </w:rPr>
        <w:t xml:space="preserve">                  </w:t>
      </w:r>
      <w:r>
        <w:rPr>
          <w:rFonts w:hint="eastAsia" w:ascii="宋体" w:hAnsi="宋体" w:cs="Calibri"/>
          <w:sz w:val="24"/>
        </w:rPr>
        <w:t xml:space="preserve"> </w:t>
      </w:r>
      <w:r>
        <w:rPr>
          <w:rFonts w:ascii="宋体" w:hAnsi="宋体" w:cs="Calibri"/>
          <w:sz w:val="24"/>
        </w:rPr>
        <w:t xml:space="preserve"> </w:t>
      </w:r>
      <w:r>
        <w:rPr>
          <w:rFonts w:hint="eastAsia" w:ascii="宋体" w:hAnsi="宋体" w:cs="仿宋"/>
          <w:sz w:val="24"/>
        </w:rPr>
        <w:t>账</w:t>
      </w:r>
      <w:r>
        <w:rPr>
          <w:rFonts w:ascii="宋体" w:hAnsi="宋体" w:cs="Calibri"/>
          <w:sz w:val="24"/>
        </w:rPr>
        <w:t>   </w:t>
      </w:r>
      <w:r>
        <w:rPr>
          <w:rFonts w:hint="eastAsia" w:ascii="宋体" w:hAnsi="宋体" w:cs="仿宋"/>
          <w:sz w:val="24"/>
        </w:rPr>
        <w:t xml:space="preserve">号： </w:t>
      </w:r>
      <w:r>
        <w:rPr>
          <w:rFonts w:ascii="宋体" w:hAnsi="宋体" w:cs="Calibri"/>
          <w:sz w:val="24"/>
        </w:rPr>
        <w:t>   </w:t>
      </w:r>
    </w:p>
    <w:p>
      <w:pPr>
        <w:spacing w:line="440" w:lineRule="exact"/>
        <w:rPr>
          <w:rFonts w:ascii="宋体" w:hAnsi="宋体" w:cs="仿宋"/>
          <w:sz w:val="24"/>
        </w:rPr>
      </w:pPr>
      <w:r>
        <w:rPr>
          <w:rFonts w:hint="eastAsia" w:ascii="宋体" w:hAnsi="宋体" w:cs="仿宋"/>
          <w:sz w:val="24"/>
        </w:rPr>
        <w:t>日期：</w:t>
      </w:r>
      <w:r>
        <w:rPr>
          <w:rFonts w:ascii="宋体" w:hAnsi="宋体" w:cs="Calibri"/>
          <w:sz w:val="24"/>
        </w:rPr>
        <w:t>  </w:t>
      </w:r>
      <w:r>
        <w:rPr>
          <w:rFonts w:hint="eastAsia" w:ascii="宋体" w:hAnsi="宋体" w:cs="仿宋"/>
          <w:sz w:val="24"/>
        </w:rPr>
        <w:t>年</w:t>
      </w:r>
      <w:r>
        <w:rPr>
          <w:rFonts w:ascii="宋体" w:hAnsi="宋体" w:cs="Calibri"/>
          <w:sz w:val="24"/>
        </w:rPr>
        <w:t>  </w:t>
      </w:r>
      <w:r>
        <w:rPr>
          <w:rFonts w:hint="eastAsia" w:ascii="宋体" w:hAnsi="宋体" w:cs="仿宋"/>
          <w:sz w:val="24"/>
        </w:rPr>
        <w:t>月</w:t>
      </w:r>
      <w:r>
        <w:rPr>
          <w:rFonts w:ascii="宋体" w:hAnsi="宋体" w:cs="Calibri"/>
          <w:sz w:val="24"/>
        </w:rPr>
        <w:t>  </w:t>
      </w:r>
      <w:r>
        <w:rPr>
          <w:rFonts w:hint="eastAsia" w:ascii="宋体" w:hAnsi="宋体" w:cs="仿宋"/>
          <w:sz w:val="24"/>
        </w:rPr>
        <w:t xml:space="preserve">日 </w:t>
      </w:r>
      <w:r>
        <w:rPr>
          <w:rFonts w:ascii="宋体" w:hAnsi="宋体" w:cs="仿宋"/>
          <w:sz w:val="24"/>
        </w:rPr>
        <w:t xml:space="preserve">            </w:t>
      </w:r>
      <w:r>
        <w:rPr>
          <w:rFonts w:hint="eastAsia" w:ascii="宋体" w:hAnsi="宋体" w:cs="仿宋"/>
          <w:sz w:val="24"/>
        </w:rPr>
        <w:t xml:space="preserve"> </w:t>
      </w:r>
      <w:r>
        <w:rPr>
          <w:rFonts w:ascii="宋体" w:hAnsi="宋体" w:cs="仿宋"/>
          <w:sz w:val="24"/>
        </w:rPr>
        <w:t xml:space="preserve">   </w:t>
      </w:r>
      <w:r>
        <w:rPr>
          <w:rFonts w:hint="eastAsia" w:ascii="宋体" w:hAnsi="宋体" w:cs="仿宋"/>
          <w:sz w:val="24"/>
        </w:rPr>
        <w:t>日期：  年  月  日</w:t>
      </w:r>
    </w:p>
    <w:p>
      <w:pPr>
        <w:widowControl/>
        <w:jc w:val="left"/>
        <w:rPr>
          <w:rFonts w:ascii="宋体" w:hAnsi="宋体"/>
          <w:b/>
          <w:sz w:val="24"/>
        </w:rPr>
      </w:pPr>
      <w:r>
        <w:rPr>
          <w:rFonts w:ascii="宋体" w:hAnsi="宋体"/>
          <w:b/>
          <w:sz w:val="24"/>
        </w:rPr>
        <w:br w:type="page"/>
      </w:r>
    </w:p>
    <w:p>
      <w:pPr>
        <w:widowControl/>
        <w:jc w:val="left"/>
        <w:rPr>
          <w:rFonts w:ascii="宋体" w:hAnsi="宋体" w:cs="宋体"/>
          <w:b/>
          <w:sz w:val="32"/>
          <w:szCs w:val="32"/>
        </w:rPr>
      </w:pPr>
      <w:r>
        <w:rPr>
          <w:rFonts w:ascii="宋体" w:hAnsi="宋体" w:cs="宋体"/>
          <w:b/>
          <w:sz w:val="32"/>
          <w:szCs w:val="32"/>
        </w:rPr>
        <w:t>附件：</w:t>
      </w:r>
    </w:p>
    <w:p>
      <w:pPr>
        <w:widowControl/>
        <w:adjustRightInd w:val="0"/>
        <w:snapToGrid w:val="0"/>
        <w:spacing w:line="360" w:lineRule="auto"/>
        <w:jc w:val="center"/>
        <w:textAlignment w:val="baseline"/>
        <w:rPr>
          <w:rFonts w:ascii="宋体" w:hAnsi="宋体" w:cs="宋体"/>
          <w:b/>
          <w:sz w:val="32"/>
          <w:szCs w:val="32"/>
        </w:rPr>
      </w:pPr>
      <w:r>
        <w:rPr>
          <w:rFonts w:hint="eastAsia" w:ascii="宋体" w:hAnsi="宋体" w:cs="宋体"/>
          <w:b/>
          <w:sz w:val="32"/>
          <w:szCs w:val="32"/>
        </w:rPr>
        <w:t>南通港小庙洪上延航道工程和三夹沙南航道工程海岸生态环境整治互花米草综合防治项目</w:t>
      </w:r>
      <w:r>
        <w:rPr>
          <w:rFonts w:ascii="宋体" w:hAnsi="宋体" w:cs="宋体"/>
          <w:b/>
          <w:sz w:val="32"/>
          <w:szCs w:val="32"/>
        </w:rPr>
        <w:t>廉政合同</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为加强</w:t>
      </w:r>
      <w:r>
        <w:rPr>
          <w:rFonts w:ascii="宋体" w:hAnsi="宋体"/>
          <w:sz w:val="24"/>
          <w:u w:val="single"/>
        </w:rPr>
        <w:t xml:space="preserve">              (项目名称)</w:t>
      </w:r>
      <w:r>
        <w:rPr>
          <w:rFonts w:hint="eastAsia" w:ascii="宋体" w:hAnsi="宋体"/>
          <w:sz w:val="24"/>
          <w:u w:val="single"/>
        </w:rPr>
        <w:t xml:space="preserve">    </w:t>
      </w:r>
      <w:r>
        <w:rPr>
          <w:rFonts w:ascii="宋体" w:hAnsi="宋体"/>
          <w:sz w:val="24"/>
        </w:rPr>
        <w:t>采购活动中的廉政建设，保证采购项目的高效优质完成，保证项目资金的安全和有效使用，采购项目合同段甲方名称：</w:t>
      </w:r>
      <w:r>
        <w:rPr>
          <w:rFonts w:ascii="宋体" w:hAnsi="宋体"/>
          <w:sz w:val="24"/>
          <w:u w:val="single"/>
        </w:rPr>
        <w:t xml:space="preserve">（甲方名称）     </w:t>
      </w:r>
      <w:r>
        <w:rPr>
          <w:rFonts w:ascii="宋体" w:hAnsi="宋体"/>
          <w:sz w:val="24"/>
        </w:rPr>
        <w:t>(以下称</w:t>
      </w:r>
      <w:r>
        <w:rPr>
          <w:rFonts w:hint="eastAsia" w:ascii="宋体" w:hAnsi="宋体"/>
          <w:sz w:val="24"/>
        </w:rPr>
        <w:t>甲方</w:t>
      </w:r>
      <w:r>
        <w:rPr>
          <w:rFonts w:ascii="宋体" w:hAnsi="宋体"/>
          <w:sz w:val="24"/>
        </w:rPr>
        <w:t>)，</w:t>
      </w:r>
      <w:r>
        <w:rPr>
          <w:rFonts w:hint="eastAsia" w:ascii="宋体" w:hAnsi="宋体"/>
          <w:sz w:val="24"/>
        </w:rPr>
        <w:t>乙方</w:t>
      </w:r>
      <w:r>
        <w:rPr>
          <w:rFonts w:ascii="宋体" w:hAnsi="宋体"/>
          <w:sz w:val="24"/>
        </w:rPr>
        <w:t>名称：</w:t>
      </w:r>
      <w:r>
        <w:rPr>
          <w:rFonts w:ascii="宋体" w:hAnsi="宋体"/>
          <w:sz w:val="24"/>
          <w:u w:val="single"/>
        </w:rPr>
        <w:t>(以下称</w:t>
      </w:r>
      <w:r>
        <w:rPr>
          <w:rFonts w:hint="eastAsia" w:ascii="宋体" w:hAnsi="宋体"/>
          <w:sz w:val="24"/>
          <w:u w:val="single"/>
        </w:rPr>
        <w:t>乙方</w:t>
      </w:r>
      <w:r>
        <w:rPr>
          <w:rFonts w:ascii="宋体" w:hAnsi="宋体"/>
          <w:sz w:val="24"/>
          <w:u w:val="single"/>
        </w:rPr>
        <w:t>)</w:t>
      </w:r>
      <w:r>
        <w:rPr>
          <w:rFonts w:ascii="宋体" w:hAnsi="宋体"/>
          <w:sz w:val="24"/>
        </w:rPr>
        <w:t>，特订立如下廉政协议。</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 xml:space="preserve">第—条  </w:t>
      </w:r>
      <w:r>
        <w:rPr>
          <w:rFonts w:hint="eastAsia" w:ascii="宋体" w:hAnsi="宋体"/>
          <w:sz w:val="24"/>
        </w:rPr>
        <w:t>买卖</w:t>
      </w:r>
      <w:r>
        <w:rPr>
          <w:rFonts w:ascii="宋体" w:hAnsi="宋体"/>
          <w:sz w:val="24"/>
        </w:rPr>
        <w:t>双方的权利和义务</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（一）</w:t>
      </w:r>
      <w:r>
        <w:rPr>
          <w:rFonts w:ascii="宋体" w:hAnsi="宋体"/>
          <w:sz w:val="24"/>
        </w:rPr>
        <w:t>严格遵守党和国家有关法律法规及建筑，交通、水利、电力、邮电等部门的有关规定。</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（二）</w:t>
      </w:r>
      <w:r>
        <w:rPr>
          <w:rFonts w:ascii="宋体" w:hAnsi="宋体"/>
          <w:sz w:val="24"/>
        </w:rPr>
        <w:t>严格执行</w:t>
      </w:r>
      <w:r>
        <w:rPr>
          <w:rFonts w:ascii="宋体" w:hAnsi="宋体"/>
          <w:sz w:val="24"/>
          <w:u w:val="single"/>
        </w:rPr>
        <w:t xml:space="preserve">          (项目名称)   </w:t>
      </w:r>
      <w:r>
        <w:rPr>
          <w:rFonts w:ascii="宋体" w:hAnsi="宋体"/>
          <w:sz w:val="24"/>
        </w:rPr>
        <w:t>采购活动的合同文件，自觉按合同办事。</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（三）</w:t>
      </w:r>
      <w:r>
        <w:rPr>
          <w:rFonts w:ascii="宋体" w:hAnsi="宋体"/>
          <w:sz w:val="24"/>
        </w:rPr>
        <w:t>双方的业务活动坚持公开</w:t>
      </w:r>
      <w:r>
        <w:rPr>
          <w:rFonts w:hint="eastAsia" w:ascii="宋体" w:hAnsi="宋体"/>
          <w:sz w:val="24"/>
        </w:rPr>
        <w:t>、</w:t>
      </w:r>
      <w:r>
        <w:rPr>
          <w:rFonts w:ascii="宋体" w:hAnsi="宋体"/>
          <w:sz w:val="24"/>
        </w:rPr>
        <w:t>公平、公正、诚信、透明的原则(除法律认定的商业秘密和合同文件另有规定之外)，不得损害国家和集体利益。</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（四）</w:t>
      </w:r>
      <w:r>
        <w:rPr>
          <w:rFonts w:ascii="宋体" w:hAnsi="宋体"/>
          <w:sz w:val="24"/>
        </w:rPr>
        <w:t>建立健全廉政制度、监督制度和处罚制度，开展廉政教育，设立廉政告示牌，公布举报电话。</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（五）</w:t>
      </w:r>
      <w:r>
        <w:rPr>
          <w:rFonts w:ascii="宋体" w:hAnsi="宋体"/>
          <w:sz w:val="24"/>
        </w:rPr>
        <w:t>发现对方在业务活动中有违反廉政规定的行为，有及时提醒对方纠正的权利和义务。</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（六）</w:t>
      </w:r>
      <w:r>
        <w:rPr>
          <w:rFonts w:ascii="宋体" w:hAnsi="宋体"/>
          <w:sz w:val="24"/>
        </w:rPr>
        <w:t>发现对方严重违反本合同义务条款的行为，有向其上级有关部门举报，建议给予处理并要求告知处理的结果的权利。</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 xml:space="preserve">第二条  </w:t>
      </w:r>
      <w:r>
        <w:rPr>
          <w:rFonts w:hint="eastAsia" w:ascii="宋体" w:hAnsi="宋体"/>
          <w:sz w:val="24"/>
        </w:rPr>
        <w:t>甲方</w:t>
      </w:r>
      <w:r>
        <w:rPr>
          <w:rFonts w:ascii="宋体" w:hAnsi="宋体"/>
          <w:sz w:val="24"/>
        </w:rPr>
        <w:t>的义务</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（一）甲方</w:t>
      </w:r>
      <w:r>
        <w:rPr>
          <w:rFonts w:ascii="宋体" w:hAnsi="宋体"/>
          <w:sz w:val="24"/>
        </w:rPr>
        <w:t>及其工作人员不得索要或接受乙方的礼金、礼券和物品，不得在</w:t>
      </w:r>
      <w:r>
        <w:rPr>
          <w:rFonts w:hint="eastAsia" w:ascii="宋体" w:hAnsi="宋体"/>
          <w:sz w:val="24"/>
        </w:rPr>
        <w:t>乙方</w:t>
      </w:r>
      <w:r>
        <w:rPr>
          <w:rFonts w:ascii="宋体" w:hAnsi="宋体"/>
          <w:sz w:val="24"/>
        </w:rPr>
        <w:t>报销任何应由</w:t>
      </w:r>
      <w:r>
        <w:rPr>
          <w:rFonts w:hint="eastAsia" w:ascii="宋体" w:hAnsi="宋体"/>
          <w:sz w:val="24"/>
        </w:rPr>
        <w:t>甲方</w:t>
      </w:r>
      <w:r>
        <w:rPr>
          <w:rFonts w:ascii="宋体" w:hAnsi="宋体"/>
          <w:sz w:val="24"/>
        </w:rPr>
        <w:t>或个人支付的费用等。</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（二）甲方</w:t>
      </w:r>
      <w:r>
        <w:rPr>
          <w:rFonts w:ascii="宋体" w:hAnsi="宋体"/>
          <w:sz w:val="24"/>
        </w:rPr>
        <w:t>不得有意刁难、拖欠</w:t>
      </w:r>
      <w:r>
        <w:rPr>
          <w:rFonts w:hint="eastAsia" w:ascii="宋体" w:hAnsi="宋体"/>
          <w:sz w:val="24"/>
        </w:rPr>
        <w:t>乙方合同</w:t>
      </w:r>
      <w:r>
        <w:rPr>
          <w:rFonts w:ascii="宋体" w:hAnsi="宋体"/>
          <w:sz w:val="24"/>
        </w:rPr>
        <w:t>款，不得违反规定</w:t>
      </w:r>
      <w:r>
        <w:rPr>
          <w:rFonts w:hint="eastAsia" w:ascii="宋体" w:hAnsi="宋体"/>
          <w:sz w:val="24"/>
        </w:rPr>
        <w:t>支付合同</w:t>
      </w:r>
      <w:r>
        <w:rPr>
          <w:rFonts w:ascii="宋体" w:hAnsi="宋体"/>
          <w:sz w:val="24"/>
        </w:rPr>
        <w:t>款等。</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（三）甲方</w:t>
      </w:r>
      <w:r>
        <w:rPr>
          <w:rFonts w:ascii="宋体" w:hAnsi="宋体"/>
          <w:sz w:val="24"/>
        </w:rPr>
        <w:t>工作人且不得参加</w:t>
      </w:r>
      <w:r>
        <w:rPr>
          <w:rFonts w:hint="eastAsia" w:ascii="宋体" w:hAnsi="宋体"/>
          <w:sz w:val="24"/>
        </w:rPr>
        <w:t>乙方</w:t>
      </w:r>
      <w:r>
        <w:rPr>
          <w:rFonts w:ascii="宋体" w:hAnsi="宋体"/>
          <w:sz w:val="24"/>
        </w:rPr>
        <w:t>安排的宴请和娱乐活动；不得接受</w:t>
      </w:r>
      <w:r>
        <w:rPr>
          <w:rFonts w:hint="eastAsia" w:ascii="宋体" w:hAnsi="宋体"/>
          <w:sz w:val="24"/>
        </w:rPr>
        <w:t>乙方</w:t>
      </w:r>
      <w:r>
        <w:rPr>
          <w:rFonts w:ascii="宋体" w:hAnsi="宋体"/>
          <w:sz w:val="24"/>
        </w:rPr>
        <w:t>提供的通讯工具，交通工具和高档办公用品等。</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（四）甲方</w:t>
      </w:r>
      <w:r>
        <w:rPr>
          <w:rFonts w:ascii="宋体" w:hAnsi="宋体"/>
          <w:sz w:val="24"/>
        </w:rPr>
        <w:t>及其工作人员不得要求或者接受</w:t>
      </w:r>
      <w:r>
        <w:rPr>
          <w:rFonts w:hint="eastAsia" w:ascii="宋体" w:hAnsi="宋体"/>
          <w:sz w:val="24"/>
        </w:rPr>
        <w:t>乙方</w:t>
      </w:r>
      <w:r>
        <w:rPr>
          <w:rFonts w:ascii="宋体" w:hAnsi="宋体"/>
          <w:sz w:val="24"/>
        </w:rPr>
        <w:t>为其住房装修，操办婚丧嫁娶、安排配偶子女的工作以及出国出境、旅游等</w:t>
      </w:r>
      <w:r>
        <w:rPr>
          <w:rFonts w:hint="eastAsia" w:ascii="宋体" w:hAnsi="宋体"/>
          <w:sz w:val="24"/>
        </w:rPr>
        <w:t>。</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（五）</w:t>
      </w:r>
      <w:r>
        <w:rPr>
          <w:rFonts w:hint="eastAsia" w:ascii="宋体" w:hAnsi="宋体"/>
          <w:sz w:val="24"/>
        </w:rPr>
        <w:t>甲方</w:t>
      </w:r>
      <w:r>
        <w:rPr>
          <w:rFonts w:ascii="宋体" w:hAnsi="宋体"/>
          <w:sz w:val="24"/>
        </w:rPr>
        <w:t>工作人员的配偶、子女及下属单位不得从事与</w:t>
      </w:r>
      <w:r>
        <w:rPr>
          <w:rFonts w:hint="eastAsia" w:ascii="宋体" w:hAnsi="宋体"/>
          <w:sz w:val="24"/>
        </w:rPr>
        <w:t>乙方项目</w:t>
      </w:r>
      <w:r>
        <w:rPr>
          <w:rFonts w:ascii="宋体" w:hAnsi="宋体"/>
          <w:sz w:val="24"/>
        </w:rPr>
        <w:t>有关的经济活动</w:t>
      </w:r>
      <w:r>
        <w:rPr>
          <w:rFonts w:hint="eastAsia" w:ascii="宋体" w:hAnsi="宋体"/>
          <w:sz w:val="24"/>
        </w:rPr>
        <w:t>。</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（六）甲方</w:t>
      </w:r>
      <w:r>
        <w:rPr>
          <w:rFonts w:ascii="宋体" w:hAnsi="宋体"/>
          <w:sz w:val="24"/>
        </w:rPr>
        <w:t>及其工作人员不得以任何理由向</w:t>
      </w:r>
      <w:r>
        <w:rPr>
          <w:rFonts w:hint="eastAsia" w:ascii="宋体" w:hAnsi="宋体"/>
          <w:sz w:val="24"/>
        </w:rPr>
        <w:t>乙方</w:t>
      </w:r>
      <w:r>
        <w:rPr>
          <w:rFonts w:ascii="宋体" w:hAnsi="宋体"/>
          <w:sz w:val="24"/>
        </w:rPr>
        <w:t>推荐分包单位。</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 xml:space="preserve">第三条  </w:t>
      </w:r>
      <w:r>
        <w:rPr>
          <w:rFonts w:hint="eastAsia" w:ascii="宋体" w:hAnsi="宋体"/>
          <w:sz w:val="24"/>
        </w:rPr>
        <w:t>乙方</w:t>
      </w:r>
      <w:r>
        <w:rPr>
          <w:rFonts w:ascii="宋体" w:hAnsi="宋体"/>
          <w:sz w:val="24"/>
        </w:rPr>
        <w:t>义务</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（一）乙方</w:t>
      </w:r>
      <w:r>
        <w:rPr>
          <w:rFonts w:ascii="宋体" w:hAnsi="宋体"/>
          <w:sz w:val="24"/>
        </w:rPr>
        <w:t>不得以任何理由向</w:t>
      </w:r>
      <w:r>
        <w:rPr>
          <w:rFonts w:hint="eastAsia" w:ascii="宋体" w:hAnsi="宋体"/>
          <w:sz w:val="24"/>
        </w:rPr>
        <w:t>甲方</w:t>
      </w:r>
      <w:r>
        <w:rPr>
          <w:rFonts w:ascii="宋体" w:hAnsi="宋体"/>
          <w:sz w:val="24"/>
        </w:rPr>
        <w:t>及其工作人员行贿或馈赠礼金、礼券，有价证券、礼品。</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（二）乙方</w:t>
      </w:r>
      <w:r>
        <w:rPr>
          <w:rFonts w:ascii="宋体" w:hAnsi="宋体"/>
          <w:sz w:val="24"/>
        </w:rPr>
        <w:t>不得以任何名义为</w:t>
      </w:r>
      <w:r>
        <w:rPr>
          <w:rFonts w:hint="eastAsia" w:ascii="宋体" w:hAnsi="宋体"/>
          <w:sz w:val="24"/>
        </w:rPr>
        <w:t>甲方</w:t>
      </w:r>
      <w:r>
        <w:rPr>
          <w:rFonts w:ascii="宋体" w:hAnsi="宋体"/>
          <w:sz w:val="24"/>
        </w:rPr>
        <w:t>及其工作人员报销应由</w:t>
      </w:r>
      <w:r>
        <w:rPr>
          <w:rFonts w:hint="eastAsia" w:ascii="宋体" w:hAnsi="宋体"/>
          <w:sz w:val="24"/>
        </w:rPr>
        <w:t>甲方</w:t>
      </w:r>
      <w:r>
        <w:rPr>
          <w:rFonts w:ascii="宋体" w:hAnsi="宋体"/>
          <w:sz w:val="24"/>
        </w:rPr>
        <w:t>单位或个人支付的任何费用。</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（三）乙方</w:t>
      </w:r>
      <w:r>
        <w:rPr>
          <w:rFonts w:ascii="宋体" w:hAnsi="宋体"/>
          <w:sz w:val="24"/>
        </w:rPr>
        <w:t>不得要求</w:t>
      </w:r>
      <w:r>
        <w:rPr>
          <w:rFonts w:hint="eastAsia" w:ascii="宋体" w:hAnsi="宋体"/>
          <w:sz w:val="24"/>
        </w:rPr>
        <w:t>甲方</w:t>
      </w:r>
      <w:r>
        <w:rPr>
          <w:rFonts w:ascii="宋体" w:hAnsi="宋体"/>
          <w:sz w:val="24"/>
        </w:rPr>
        <w:t>违反规定批拔、追加</w:t>
      </w:r>
      <w:r>
        <w:rPr>
          <w:rFonts w:hint="eastAsia" w:ascii="宋体" w:hAnsi="宋体"/>
          <w:sz w:val="24"/>
        </w:rPr>
        <w:t>合同</w:t>
      </w:r>
      <w:r>
        <w:rPr>
          <w:rFonts w:ascii="宋体" w:hAnsi="宋体"/>
          <w:sz w:val="24"/>
        </w:rPr>
        <w:t>款等</w:t>
      </w:r>
      <w:r>
        <w:rPr>
          <w:rFonts w:hint="eastAsia" w:ascii="宋体" w:hAnsi="宋体"/>
          <w:sz w:val="24"/>
        </w:rPr>
        <w:t>。</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（四）乙方</w:t>
      </w:r>
      <w:r>
        <w:rPr>
          <w:rFonts w:ascii="宋体" w:hAnsi="宋体"/>
          <w:sz w:val="24"/>
        </w:rPr>
        <w:t>不得以任何理由安排</w:t>
      </w:r>
      <w:r>
        <w:rPr>
          <w:rFonts w:hint="eastAsia" w:ascii="宋体" w:hAnsi="宋体"/>
          <w:sz w:val="24"/>
        </w:rPr>
        <w:t>甲方</w:t>
      </w:r>
      <w:r>
        <w:rPr>
          <w:rFonts w:ascii="宋体" w:hAnsi="宋体"/>
          <w:sz w:val="24"/>
        </w:rPr>
        <w:t>工作人员参加宴请及娱乐活动。</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（五）乙方</w:t>
      </w:r>
      <w:r>
        <w:rPr>
          <w:rFonts w:ascii="宋体" w:hAnsi="宋体"/>
          <w:sz w:val="24"/>
        </w:rPr>
        <w:t>不得为</w:t>
      </w:r>
      <w:r>
        <w:rPr>
          <w:rFonts w:hint="eastAsia" w:ascii="宋体" w:hAnsi="宋体"/>
          <w:sz w:val="24"/>
        </w:rPr>
        <w:t>甲方</w:t>
      </w:r>
      <w:r>
        <w:rPr>
          <w:rFonts w:ascii="宋体" w:hAnsi="宋体"/>
          <w:sz w:val="24"/>
        </w:rPr>
        <w:t>单位和个人购置或提供通讯工具、交通工具和高档办公用品等。</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第四条  违约责任</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（一）</w:t>
      </w:r>
      <w:r>
        <w:rPr>
          <w:rFonts w:ascii="宋体" w:hAnsi="宋体"/>
          <w:sz w:val="24"/>
        </w:rPr>
        <w:t>甲方及其工作人员违反本合同第一、二条，按管理权限，依据有关规定给予党纪、政纪或组织处理；涉嫌犯罪的，移交司法机关追究刑事责任；给乙方单位造成经济损失的，应予以赔偿。</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（二）乙方</w:t>
      </w:r>
      <w:r>
        <w:rPr>
          <w:rFonts w:ascii="宋体" w:hAnsi="宋体"/>
          <w:sz w:val="24"/>
        </w:rPr>
        <w:t>及其工作人员违反本合同第一、三条，按管理权限，依据有关规定，给予党纪、政纪或组织处理；给</w:t>
      </w:r>
      <w:r>
        <w:rPr>
          <w:rFonts w:hint="eastAsia" w:ascii="宋体" w:hAnsi="宋体"/>
          <w:sz w:val="24"/>
        </w:rPr>
        <w:t>甲方</w:t>
      </w:r>
      <w:r>
        <w:rPr>
          <w:rFonts w:ascii="宋体" w:hAnsi="宋体"/>
          <w:sz w:val="24"/>
        </w:rPr>
        <w:t>单位造成经济损失的，应予以赔偿；情节严重的，</w:t>
      </w:r>
      <w:r>
        <w:rPr>
          <w:rFonts w:hint="eastAsia" w:ascii="宋体" w:hAnsi="宋体"/>
          <w:sz w:val="24"/>
        </w:rPr>
        <w:t>甲方</w:t>
      </w:r>
      <w:r>
        <w:rPr>
          <w:rFonts w:ascii="宋体" w:hAnsi="宋体"/>
          <w:sz w:val="24"/>
        </w:rPr>
        <w:t>有权追究相关责任人的法律责任。</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第五条   双方约定</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本合同由相关纪检部门负责监督执行。纪检部门对本合同执行情况进行抽查，提出属本合同规定范围内的处理意见。</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第六条  本合同有效期为</w:t>
      </w:r>
      <w:r>
        <w:rPr>
          <w:rFonts w:hint="eastAsia" w:ascii="宋体" w:hAnsi="宋体"/>
          <w:sz w:val="24"/>
        </w:rPr>
        <w:t>甲乙</w:t>
      </w:r>
      <w:r>
        <w:rPr>
          <w:rFonts w:ascii="宋体" w:hAnsi="宋体"/>
          <w:sz w:val="24"/>
        </w:rPr>
        <w:t>双方签署之日起至该项目费用支付完结时止。</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本合同作为</w:t>
      </w:r>
      <w:r>
        <w:rPr>
          <w:rFonts w:ascii="宋体" w:hAnsi="宋体"/>
          <w:sz w:val="24"/>
          <w:u w:val="single"/>
        </w:rPr>
        <w:t xml:space="preserve">          (项目名称)   </w:t>
      </w:r>
      <w:r>
        <w:rPr>
          <w:rFonts w:hint="eastAsia" w:ascii="宋体" w:hAnsi="宋体"/>
          <w:sz w:val="24"/>
          <w:u w:val="single"/>
        </w:rPr>
        <w:t>（标段名称）</w:t>
      </w:r>
      <w:r>
        <w:rPr>
          <w:rFonts w:ascii="宋体" w:hAnsi="宋体"/>
          <w:sz w:val="24"/>
        </w:rPr>
        <w:t>合同的附件，与该合同具有同等的法律效力，经合同双方签署立即生效。</w:t>
      </w:r>
    </w:p>
    <w:p>
      <w:pPr>
        <w:widowControl/>
        <w:adjustRightInd w:val="0"/>
        <w:snapToGrid w:val="0"/>
        <w:spacing w:line="360" w:lineRule="auto"/>
        <w:ind w:firstLine="480" w:firstLineChars="200"/>
        <w:textAlignment w:val="baseline"/>
        <w:rPr>
          <w:rFonts w:ascii="宋体" w:hAnsi="宋体"/>
          <w:sz w:val="24"/>
        </w:rPr>
      </w:pP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甲方</w:t>
      </w:r>
      <w:r>
        <w:rPr>
          <w:rFonts w:ascii="宋体" w:hAnsi="宋体"/>
          <w:sz w:val="24"/>
        </w:rPr>
        <w:t>：</w:t>
      </w:r>
      <w:r>
        <w:rPr>
          <w:rFonts w:ascii="宋体" w:hAnsi="宋体"/>
          <w:sz w:val="24"/>
          <w:u w:val="single"/>
        </w:rPr>
        <w:t xml:space="preserve">  (盖  章)</w:t>
      </w:r>
      <w:r>
        <w:rPr>
          <w:rFonts w:ascii="宋体" w:hAnsi="宋体"/>
          <w:sz w:val="24"/>
        </w:rPr>
        <w:t xml:space="preserve">  </w:t>
      </w:r>
      <w:r>
        <w:rPr>
          <w:rFonts w:hint="eastAsia" w:ascii="宋体" w:hAnsi="宋体"/>
          <w:sz w:val="24"/>
        </w:rPr>
        <w:t xml:space="preserve">                      乙方</w:t>
      </w:r>
      <w:r>
        <w:rPr>
          <w:rFonts w:ascii="宋体" w:hAnsi="宋体"/>
          <w:sz w:val="24"/>
        </w:rPr>
        <w:t>：</w:t>
      </w:r>
      <w:r>
        <w:rPr>
          <w:rFonts w:ascii="宋体" w:hAnsi="宋体"/>
          <w:sz w:val="24"/>
          <w:u w:val="single"/>
        </w:rPr>
        <w:t xml:space="preserve">  (盖  章)  </w:t>
      </w:r>
    </w:p>
    <w:p>
      <w:pPr>
        <w:widowControl/>
        <w:adjustRightInd w:val="0"/>
        <w:snapToGrid w:val="0"/>
        <w:spacing w:line="360" w:lineRule="auto"/>
        <w:ind w:firstLine="480" w:firstLineChars="200"/>
        <w:textAlignment w:val="baseline"/>
        <w:rPr>
          <w:rFonts w:ascii="宋体" w:hAnsi="宋体"/>
          <w:sz w:val="24"/>
        </w:rPr>
      </w:pP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法定代表人：                             法定代表人：</w:t>
      </w:r>
    </w:p>
    <w:p>
      <w:pPr>
        <w:widowControl/>
        <w:adjustRightInd w:val="0"/>
        <w:snapToGrid w:val="0"/>
        <w:spacing w:line="360" w:lineRule="auto"/>
        <w:ind w:firstLine="480" w:firstLineChars="200"/>
        <w:textAlignment w:val="baseline"/>
        <w:rPr>
          <w:rFonts w:ascii="宋体" w:hAnsi="宋体"/>
          <w:sz w:val="24"/>
          <w:u w:val="single"/>
        </w:rPr>
      </w:pPr>
      <w:r>
        <w:rPr>
          <w:rFonts w:ascii="宋体" w:hAnsi="宋体"/>
          <w:sz w:val="24"/>
        </w:rPr>
        <w:t>或其授权的代理人：</w:t>
      </w:r>
      <w:r>
        <w:rPr>
          <w:rFonts w:ascii="宋体" w:hAnsi="宋体"/>
          <w:sz w:val="24"/>
          <w:u w:val="single"/>
        </w:rPr>
        <w:t xml:space="preserve">  (签  字)  </w:t>
      </w:r>
      <w:r>
        <w:rPr>
          <w:rFonts w:ascii="宋体" w:hAnsi="宋体"/>
          <w:sz w:val="24"/>
        </w:rPr>
        <w:t xml:space="preserve">           或其授权的代理人：</w:t>
      </w:r>
      <w:r>
        <w:rPr>
          <w:rFonts w:ascii="宋体" w:hAnsi="宋体"/>
          <w:sz w:val="24"/>
          <w:u w:val="single"/>
        </w:rPr>
        <w:t xml:space="preserve">  (签  字)  </w:t>
      </w:r>
    </w:p>
    <w:p>
      <w:pPr>
        <w:widowControl/>
        <w:adjustRightInd w:val="0"/>
        <w:snapToGrid w:val="0"/>
        <w:spacing w:line="360" w:lineRule="auto"/>
        <w:ind w:firstLine="482" w:firstLineChars="200"/>
        <w:textAlignment w:val="baseline"/>
        <w:rPr>
          <w:rFonts w:ascii="宋体" w:hAnsi="宋体"/>
          <w:b/>
          <w:bCs/>
          <w:sz w:val="24"/>
        </w:rPr>
        <w:sectPr>
          <w:pgSz w:w="11906" w:h="16838"/>
          <w:pgMar w:top="1440" w:right="1440" w:bottom="1440" w:left="1440" w:header="851" w:footer="992" w:gutter="0"/>
          <w:cols w:space="720" w:num="1"/>
          <w:docGrid w:linePitch="602" w:charSpace="-1675"/>
        </w:sectPr>
      </w:pPr>
    </w:p>
    <w:p>
      <w:pPr>
        <w:widowControl/>
        <w:adjustRightInd w:val="0"/>
        <w:snapToGrid w:val="0"/>
        <w:spacing w:line="360" w:lineRule="auto"/>
        <w:jc w:val="center"/>
        <w:textAlignment w:val="baseline"/>
        <w:rPr>
          <w:rFonts w:ascii="宋体" w:hAnsi="宋体" w:cs="宋体"/>
          <w:b/>
          <w:sz w:val="32"/>
          <w:szCs w:val="32"/>
        </w:rPr>
      </w:pPr>
      <w:r>
        <w:rPr>
          <w:rFonts w:hint="eastAsia" w:ascii="宋体" w:hAnsi="宋体" w:cs="宋体"/>
          <w:b/>
          <w:sz w:val="32"/>
          <w:szCs w:val="32"/>
        </w:rPr>
        <w:t>南通港小庙洪上延航道工程和三夹沙南航道工程海岸生态环境整治互花米草综合防治项目安全生产合同</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为在</w:t>
      </w:r>
      <w:r>
        <w:rPr>
          <w:rFonts w:ascii="宋体" w:hAnsi="宋体"/>
          <w:sz w:val="24"/>
          <w:u w:val="single"/>
        </w:rPr>
        <w:t>（项目名称）（标段）</w:t>
      </w:r>
      <w:r>
        <w:rPr>
          <w:rFonts w:ascii="宋体" w:hAnsi="宋体"/>
          <w:sz w:val="24"/>
        </w:rPr>
        <w:t>合同的实施过程中创造安全、高效的作业环境，切实搞好本项目的安全管理工作，本项目甲方</w:t>
      </w:r>
      <w:r>
        <w:rPr>
          <w:rFonts w:hint="eastAsia" w:ascii="宋体" w:hAnsi="宋体"/>
          <w:sz w:val="24"/>
          <w:u w:val="single"/>
        </w:rPr>
        <w:t xml:space="preserve">          </w:t>
      </w:r>
      <w:r>
        <w:rPr>
          <w:rFonts w:ascii="宋体" w:hAnsi="宋体"/>
          <w:sz w:val="24"/>
        </w:rPr>
        <w:t>（甲方名称，以下简称“甲方”）与乙方</w:t>
      </w:r>
      <w:r>
        <w:rPr>
          <w:rFonts w:hint="eastAsia" w:ascii="宋体" w:hAnsi="宋体"/>
          <w:sz w:val="24"/>
          <w:u w:val="single"/>
        </w:rPr>
        <w:t xml:space="preserve">      </w:t>
      </w:r>
      <w:r>
        <w:rPr>
          <w:rFonts w:ascii="宋体" w:hAnsi="宋体"/>
          <w:sz w:val="24"/>
        </w:rPr>
        <w:t>（乙方名称，以下简称“乙方”）特此签订安全合同：</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1</w:t>
      </w:r>
      <w:r>
        <w:rPr>
          <w:rFonts w:hint="eastAsia" w:ascii="宋体" w:hAnsi="宋体"/>
          <w:sz w:val="24"/>
        </w:rPr>
        <w:t>.</w:t>
      </w:r>
      <w:r>
        <w:rPr>
          <w:rFonts w:ascii="宋体" w:hAnsi="宋体"/>
          <w:sz w:val="24"/>
        </w:rPr>
        <w:t>甲方责任</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1）严格遵守国家有关安全生产的法律法规，落实安全生产主体责任。</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2）对乙方的安全管理情况进行监督管理，与乙方建立沟通联络机制。</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3）协助乙方开展事故应急救援与事故善后工作。</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2</w:t>
      </w:r>
      <w:r>
        <w:rPr>
          <w:rFonts w:hint="eastAsia" w:ascii="宋体" w:hAnsi="宋体"/>
          <w:sz w:val="24"/>
        </w:rPr>
        <w:t>.</w:t>
      </w:r>
      <w:r>
        <w:rPr>
          <w:rFonts w:ascii="宋体" w:hAnsi="宋体"/>
          <w:sz w:val="24"/>
        </w:rPr>
        <w:t>乙方责任</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1）认真贯彻落实</w:t>
      </w:r>
      <w:r>
        <w:rPr>
          <w:rFonts w:hint="eastAsia" w:ascii="宋体" w:hAnsi="宋体"/>
          <w:sz w:val="24"/>
        </w:rPr>
        <w:t>《中华人民共和国安全生产法》《海上交通安全法》《江苏省渔业管理条例》《江苏省渔业安全生产管理办法》等</w:t>
      </w:r>
      <w:r>
        <w:rPr>
          <w:rFonts w:ascii="宋体" w:hAnsi="宋体"/>
          <w:sz w:val="24"/>
        </w:rPr>
        <w:t>法律法规，遵守甲方安全生产规章制度及要求，落实安全生产主体责任。</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2）依法依规配备安全生产管理人员，明确安全联络人及其职责，与甲方构建联络机制。</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3）建立健全安全生产责任制与安全生产规章制度，并采取措施确保制度的落实。</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4）加强全员（包括外聘临时工作人员）安全教育培训，确保作业人员熟知有关安全知识、风险防范及应急要求，掌握并遵守本岗位安全操作规程。</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5）严格执行特种作业、危险作业管理要求，不得安排不具备相应资质的人员上岗。</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6）所有</w:t>
      </w:r>
      <w:r>
        <w:rPr>
          <w:rFonts w:hint="eastAsia" w:ascii="宋体" w:hAnsi="宋体"/>
          <w:sz w:val="24"/>
        </w:rPr>
        <w:t>涉及本项目</w:t>
      </w:r>
      <w:r>
        <w:rPr>
          <w:rFonts w:ascii="宋体" w:hAnsi="宋体"/>
          <w:sz w:val="24"/>
        </w:rPr>
        <w:t>设备均应定期检查，保证其经常处于完好状态；不合格的机具、设备和安全防护用品严禁使用。</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7）服务过程中如采用新技术、新工艺、新设备、新材料的，必须制定相应的安全技术措施，同时对相关人员进行安全技术培训。</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8）乙方应选择性能好的作业船舶，保证船舶适航，船员适任。作业期间作业船舶，加强瞭望和警戒，防止与渔船、其它船舶发生碰撞事故。作业船舶应主动到海事等部门办理相关手续，做到合法合规。台风期间，密切关注气象信息，作业船舶严格按照预案要求提前到指定区域防台避风。</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9）乙方必须按照本服务项目特点，制定生产安全事故应急救援预案，并组织开展应急演练。</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10）发生生产安全事故时，乙方应立即组织开展事故应急救援，及时报告政府主管部门及甲方。</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w:t>
      </w:r>
      <w:r>
        <w:rPr>
          <w:rFonts w:hint="eastAsia" w:ascii="宋体" w:hAnsi="宋体"/>
          <w:sz w:val="24"/>
        </w:rPr>
        <w:t>11</w:t>
      </w:r>
      <w:r>
        <w:rPr>
          <w:rFonts w:ascii="宋体" w:hAnsi="宋体"/>
          <w:sz w:val="24"/>
        </w:rPr>
        <w:t>）因本项目为涉水作业，</w:t>
      </w:r>
      <w:r>
        <w:rPr>
          <w:rFonts w:hint="eastAsia" w:ascii="宋体" w:hAnsi="宋体"/>
          <w:sz w:val="24"/>
        </w:rPr>
        <w:t>乙方</w:t>
      </w:r>
      <w:r>
        <w:rPr>
          <w:rFonts w:ascii="宋体" w:hAnsi="宋体"/>
          <w:sz w:val="24"/>
        </w:rPr>
        <w:t>应为作业人员配备必备的救生用品，如救生衣、 救生圈等，进行涉水作业安全教育、培训，建立安全应急预案。</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3</w:t>
      </w:r>
      <w:r>
        <w:rPr>
          <w:rFonts w:hint="eastAsia" w:ascii="宋体" w:hAnsi="宋体"/>
          <w:sz w:val="24"/>
        </w:rPr>
        <w:t>.</w:t>
      </w:r>
      <w:r>
        <w:rPr>
          <w:rFonts w:ascii="宋体" w:hAnsi="宋体"/>
          <w:sz w:val="24"/>
        </w:rPr>
        <w:t>违约责任</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1）乙方未能履行有关法律法规及本协议要求的，甲方有权采取责令整改、扣除风险抵押金、责令停止作业等措施。</w:t>
      </w:r>
    </w:p>
    <w:p>
      <w:pPr>
        <w:widowControl/>
        <w:adjustRightInd w:val="0"/>
        <w:snapToGrid w:val="0"/>
        <w:spacing w:line="360" w:lineRule="auto"/>
        <w:ind w:firstLine="480" w:firstLineChars="200"/>
        <w:textAlignment w:val="baseline"/>
        <w:rPr>
          <w:rFonts w:ascii="宋体" w:hAnsi="宋体"/>
          <w:sz w:val="24"/>
        </w:rPr>
      </w:pPr>
      <w:r>
        <w:rPr>
          <w:rFonts w:hint="eastAsia" w:ascii="宋体" w:hAnsi="宋体"/>
          <w:sz w:val="24"/>
        </w:rPr>
        <w:t>（</w:t>
      </w:r>
      <w:r>
        <w:rPr>
          <w:rFonts w:ascii="宋体" w:hAnsi="宋体"/>
          <w:sz w:val="24"/>
        </w:rPr>
        <w:t>2）因甲方或乙方违约造成生产安全事故，依法承担相应责任。</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4</w:t>
      </w:r>
      <w:r>
        <w:rPr>
          <w:rFonts w:hint="eastAsia" w:ascii="宋体" w:hAnsi="宋体"/>
          <w:sz w:val="24"/>
        </w:rPr>
        <w:t>.</w:t>
      </w:r>
      <w:r>
        <w:rPr>
          <w:rFonts w:ascii="宋体" w:hAnsi="宋体"/>
          <w:sz w:val="24"/>
        </w:rPr>
        <w:t>本合同由双方法定代表人或其授权的代理人签署并加盖单位章后生效，本项目完成后失效。</w:t>
      </w:r>
    </w:p>
    <w:p>
      <w:pPr>
        <w:widowControl/>
        <w:adjustRightInd w:val="0"/>
        <w:snapToGrid w:val="0"/>
        <w:spacing w:line="360" w:lineRule="auto"/>
        <w:ind w:firstLine="480" w:firstLineChars="200"/>
        <w:textAlignment w:val="baseline"/>
        <w:rPr>
          <w:rFonts w:ascii="宋体" w:hAnsi="宋体"/>
          <w:sz w:val="24"/>
        </w:rPr>
      </w:pPr>
      <w:r>
        <w:rPr>
          <w:rFonts w:ascii="宋体" w:hAnsi="宋体"/>
          <w:sz w:val="24"/>
        </w:rPr>
        <w:t>5</w:t>
      </w:r>
      <w:r>
        <w:rPr>
          <w:rFonts w:hint="eastAsia" w:ascii="宋体" w:hAnsi="宋体"/>
          <w:sz w:val="24"/>
        </w:rPr>
        <w:t>.</w:t>
      </w:r>
      <w:r>
        <w:rPr>
          <w:rFonts w:ascii="宋体" w:hAnsi="宋体"/>
          <w:sz w:val="24"/>
        </w:rPr>
        <w:t>本合同正本</w:t>
      </w:r>
      <w:r>
        <w:rPr>
          <w:rFonts w:hint="eastAsia" w:ascii="宋体" w:hAnsi="宋体"/>
          <w:sz w:val="24"/>
        </w:rPr>
        <w:t>贰</w:t>
      </w:r>
      <w:r>
        <w:rPr>
          <w:rFonts w:ascii="宋体" w:hAnsi="宋体"/>
          <w:sz w:val="24"/>
        </w:rPr>
        <w:t>份、副本</w:t>
      </w:r>
      <w:r>
        <w:rPr>
          <w:rFonts w:hint="eastAsia" w:ascii="宋体" w:hAnsi="宋体"/>
          <w:sz w:val="24"/>
        </w:rPr>
        <w:t>贰</w:t>
      </w:r>
      <w:r>
        <w:rPr>
          <w:rFonts w:ascii="宋体" w:hAnsi="宋体"/>
          <w:sz w:val="24"/>
        </w:rPr>
        <w:t>份，合同双方各执正本</w:t>
      </w:r>
      <w:r>
        <w:rPr>
          <w:rFonts w:hint="eastAsia" w:ascii="宋体" w:hAnsi="宋体"/>
          <w:sz w:val="24"/>
        </w:rPr>
        <w:t>壹</w:t>
      </w:r>
      <w:r>
        <w:rPr>
          <w:rFonts w:ascii="宋体" w:hAnsi="宋体"/>
          <w:sz w:val="24"/>
        </w:rPr>
        <w:t>份，副本</w:t>
      </w:r>
      <w:r>
        <w:rPr>
          <w:rFonts w:hint="eastAsia" w:ascii="宋体" w:hAnsi="宋体"/>
          <w:sz w:val="24"/>
        </w:rPr>
        <w:t>壹</w:t>
      </w:r>
      <w:r>
        <w:rPr>
          <w:rFonts w:ascii="宋体" w:hAnsi="宋体"/>
          <w:sz w:val="24"/>
        </w:rPr>
        <w:t>份，当正本与副本的内容不一致时，以正本为准。</w:t>
      </w:r>
    </w:p>
    <w:p>
      <w:pPr>
        <w:adjustRightInd w:val="0"/>
        <w:snapToGrid w:val="0"/>
        <w:spacing w:line="360" w:lineRule="auto"/>
        <w:ind w:firstLine="200"/>
        <w:rPr>
          <w:rFonts w:ascii="宋体" w:hAnsi="宋体"/>
          <w:sz w:val="24"/>
        </w:rPr>
      </w:pPr>
    </w:p>
    <w:p>
      <w:pPr>
        <w:widowControl/>
        <w:adjustRightInd w:val="0"/>
        <w:snapToGrid w:val="0"/>
        <w:spacing w:line="360" w:lineRule="auto"/>
        <w:textAlignment w:val="baseline"/>
        <w:rPr>
          <w:rFonts w:ascii="宋体" w:hAnsi="宋体"/>
          <w:sz w:val="24"/>
        </w:rPr>
      </w:pPr>
      <w:r>
        <w:rPr>
          <w:rFonts w:hint="eastAsia" w:ascii="宋体" w:hAnsi="宋体"/>
          <w:sz w:val="24"/>
        </w:rPr>
        <w:t>甲方：</w:t>
      </w:r>
      <w:r>
        <w:rPr>
          <w:rFonts w:ascii="宋体" w:hAnsi="宋体"/>
          <w:sz w:val="24"/>
        </w:rPr>
        <w:t xml:space="preserve">       （盖单位章）     </w:t>
      </w:r>
      <w:r>
        <w:rPr>
          <w:rFonts w:hint="eastAsia" w:ascii="宋体" w:hAnsi="宋体"/>
          <w:sz w:val="24"/>
        </w:rPr>
        <w:t xml:space="preserve">      </w:t>
      </w:r>
      <w:r>
        <w:rPr>
          <w:rFonts w:ascii="宋体" w:hAnsi="宋体"/>
          <w:sz w:val="24"/>
        </w:rPr>
        <w:t>乙方  ：           （盖单位章）</w:t>
      </w:r>
    </w:p>
    <w:p>
      <w:pPr>
        <w:widowControl/>
        <w:adjustRightInd w:val="0"/>
        <w:snapToGrid w:val="0"/>
        <w:spacing w:line="360" w:lineRule="auto"/>
        <w:textAlignment w:val="baseline"/>
        <w:rPr>
          <w:rFonts w:ascii="宋体" w:hAnsi="宋体"/>
          <w:sz w:val="24"/>
        </w:rPr>
      </w:pPr>
      <w:r>
        <w:rPr>
          <w:rFonts w:hint="eastAsia" w:ascii="宋体" w:hAnsi="宋体"/>
          <w:sz w:val="24"/>
        </w:rPr>
        <w:t>法定代表人或其委托代理人：</w:t>
      </w:r>
      <w:r>
        <w:rPr>
          <w:rFonts w:ascii="宋体" w:hAnsi="宋体"/>
          <w:sz w:val="24"/>
        </w:rPr>
        <w:t xml:space="preserve"> （签字）  法定代表人或其委托代理人：（签字）</w:t>
      </w:r>
    </w:p>
    <w:p>
      <w:pPr>
        <w:widowControl/>
        <w:adjustRightInd w:val="0"/>
        <w:snapToGrid w:val="0"/>
        <w:spacing w:line="360" w:lineRule="auto"/>
        <w:ind w:firstLine="480" w:firstLineChars="200"/>
        <w:textAlignment w:val="baseline"/>
        <w:rPr>
          <w:rFonts w:ascii="宋体" w:hAnsi="宋体"/>
          <w:sz w:val="24"/>
        </w:rPr>
      </w:pPr>
    </w:p>
    <w:p>
      <w:pPr>
        <w:widowControl/>
        <w:adjustRightInd w:val="0"/>
        <w:snapToGrid w:val="0"/>
        <w:spacing w:line="360" w:lineRule="auto"/>
        <w:ind w:firstLine="200"/>
        <w:textAlignment w:val="baseline"/>
        <w:rPr>
          <w:rFonts w:ascii="宋体" w:hAnsi="宋体"/>
          <w:sz w:val="24"/>
        </w:rPr>
      </w:pPr>
      <w:r>
        <w:rPr>
          <w:rFonts w:ascii="宋体" w:hAnsi="宋体"/>
          <w:sz w:val="24"/>
        </w:rPr>
        <w:t>年       月         日                  年         月          日</w:t>
      </w:r>
    </w:p>
    <w:p>
      <w:pPr>
        <w:pStyle w:val="19"/>
        <w:adjustRightInd w:val="0"/>
        <w:snapToGrid w:val="0"/>
        <w:spacing w:line="360" w:lineRule="auto"/>
        <w:ind w:firstLine="200"/>
      </w:pPr>
    </w:p>
    <w:p>
      <w:pPr>
        <w:adjustRightInd w:val="0"/>
        <w:snapToGrid w:val="0"/>
        <w:spacing w:line="360" w:lineRule="auto"/>
        <w:ind w:firstLine="200"/>
        <w:jc w:val="center"/>
        <w:rPr>
          <w:rFonts w:ascii="宋体" w:hAnsi="宋体" w:cs="宋体"/>
          <w:b/>
          <w:sz w:val="36"/>
          <w:szCs w:val="36"/>
        </w:rPr>
      </w:pPr>
      <w:r>
        <w:rPr>
          <w:rFonts w:ascii="宋体" w:hAnsi="宋体" w:cs="宋体"/>
          <w:b/>
          <w:sz w:val="36"/>
          <w:szCs w:val="36"/>
        </w:rPr>
        <w:br w:type="page"/>
      </w:r>
    </w:p>
    <w:p>
      <w:pPr>
        <w:adjustRightInd w:val="0"/>
        <w:snapToGrid w:val="0"/>
        <w:spacing w:line="360" w:lineRule="auto"/>
        <w:ind w:firstLine="200"/>
        <w:jc w:val="center"/>
        <w:outlineLvl w:val="0"/>
        <w:rPr>
          <w:rFonts w:ascii="宋体" w:hAnsi="宋体" w:cs="宋体"/>
          <w:b/>
          <w:sz w:val="36"/>
          <w:szCs w:val="36"/>
        </w:rPr>
      </w:pPr>
      <w:r>
        <w:rPr>
          <w:rFonts w:hint="eastAsia" w:ascii="宋体" w:hAnsi="宋体" w:cs="宋体"/>
          <w:b/>
          <w:sz w:val="36"/>
          <w:szCs w:val="36"/>
        </w:rPr>
        <w:t>第六部分  投标文件组成</w:t>
      </w:r>
    </w:p>
    <w:p>
      <w:pPr>
        <w:widowControl/>
        <w:spacing w:line="360" w:lineRule="auto"/>
        <w:jc w:val="center"/>
        <w:textAlignment w:val="baseline"/>
        <w:rPr>
          <w:sz w:val="24"/>
        </w:rPr>
      </w:pPr>
      <w:r>
        <w:rPr>
          <w:rFonts w:hint="eastAsia" w:ascii="宋体" w:hAnsi="宋体"/>
          <w:b/>
          <w:sz w:val="24"/>
        </w:rPr>
        <w:t>投标资料目录表</w:t>
      </w:r>
    </w:p>
    <w:tbl>
      <w:tblPr>
        <w:tblStyle w:val="51"/>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356"/>
        <w:gridCol w:w="3732"/>
        <w:gridCol w:w="2134"/>
        <w:gridCol w:w="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baseline"/>
              <w:rPr>
                <w:rFonts w:ascii="宋体" w:hAnsi="宋体" w:cs="宋体"/>
                <w:bCs/>
                <w:sz w:val="18"/>
                <w:szCs w:val="18"/>
              </w:rPr>
            </w:pPr>
            <w:r>
              <w:rPr>
                <w:rFonts w:hint="eastAsia" w:ascii="宋体" w:hAnsi="宋体" w:cs="宋体"/>
                <w:bCs/>
                <w:sz w:val="18"/>
                <w:szCs w:val="18"/>
              </w:rPr>
              <w:t>序号</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baseline"/>
              <w:rPr>
                <w:rFonts w:ascii="宋体" w:hAnsi="宋体" w:cs="宋体"/>
                <w:bCs/>
                <w:sz w:val="18"/>
                <w:szCs w:val="18"/>
              </w:rPr>
            </w:pPr>
            <w:r>
              <w:rPr>
                <w:rFonts w:hint="eastAsia" w:ascii="宋体" w:hAnsi="宋体" w:cs="宋体"/>
                <w:bCs/>
                <w:sz w:val="18"/>
                <w:szCs w:val="18"/>
              </w:rPr>
              <w:t>项目内容</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baseline"/>
              <w:rPr>
                <w:rFonts w:ascii="宋体" w:hAnsi="宋体" w:cs="宋体"/>
                <w:bCs/>
                <w:sz w:val="18"/>
                <w:szCs w:val="18"/>
              </w:rPr>
            </w:pPr>
            <w:r>
              <w:rPr>
                <w:rFonts w:hint="eastAsia" w:ascii="宋体" w:hAnsi="宋体" w:cs="宋体"/>
                <w:bCs/>
                <w:sz w:val="18"/>
                <w:szCs w:val="18"/>
              </w:rPr>
              <w:t>合格条件</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baseline"/>
              <w:rPr>
                <w:rFonts w:ascii="宋体" w:hAnsi="宋体" w:cs="宋体"/>
                <w:bCs/>
                <w:sz w:val="18"/>
                <w:szCs w:val="18"/>
              </w:rPr>
            </w:pPr>
            <w:r>
              <w:rPr>
                <w:rFonts w:hint="eastAsia" w:ascii="宋体" w:hAnsi="宋体" w:cs="宋体"/>
                <w:bCs/>
                <w:sz w:val="18"/>
                <w:szCs w:val="18"/>
              </w:rPr>
              <w:t>投标供应商需提供的材料</w:t>
            </w:r>
          </w:p>
        </w:tc>
        <w:tc>
          <w:tcPr>
            <w:tcW w:w="51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baseline"/>
              <w:rPr>
                <w:rFonts w:ascii="宋体" w:hAnsi="宋体" w:cs="宋体"/>
                <w:bCs/>
                <w:sz w:val="18"/>
                <w:szCs w:val="18"/>
              </w:rPr>
            </w:pPr>
            <w:r>
              <w:rPr>
                <w:rFonts w:hint="eastAsia" w:ascii="宋体" w:hAnsi="宋体" w:cs="宋体"/>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baseline"/>
              <w:rPr>
                <w:rFonts w:ascii="宋体" w:hAnsi="宋体" w:cs="宋体"/>
                <w:bCs/>
                <w:sz w:val="18"/>
                <w:szCs w:val="18"/>
              </w:rPr>
            </w:pPr>
            <w:r>
              <w:rPr>
                <w:rFonts w:hint="eastAsia" w:ascii="宋体" w:hAnsi="宋体" w:cs="宋体"/>
                <w:bCs/>
                <w:sz w:val="18"/>
                <w:szCs w:val="18"/>
              </w:rPr>
              <w:t>一</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textAlignment w:val="baseline"/>
              <w:rPr>
                <w:rFonts w:ascii="宋体" w:hAnsi="宋体" w:cs="宋体"/>
                <w:bCs/>
                <w:sz w:val="18"/>
                <w:szCs w:val="18"/>
              </w:rPr>
            </w:pPr>
            <w:r>
              <w:rPr>
                <w:rFonts w:hint="eastAsia" w:ascii="宋体" w:hAnsi="宋体" w:cs="宋体"/>
                <w:bCs/>
                <w:sz w:val="18"/>
                <w:szCs w:val="18"/>
              </w:rPr>
              <w:t>资格审查证明材料</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textAlignment w:val="baseline"/>
              <w:rPr>
                <w:rFonts w:ascii="宋体" w:hAnsi="宋体" w:cs="宋体"/>
                <w:bCs/>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textAlignment w:val="baseline"/>
              <w:rPr>
                <w:rFonts w:ascii="宋体" w:hAnsi="宋体" w:cs="宋体"/>
                <w:bCs/>
                <w:sz w:val="18"/>
                <w:szCs w:val="18"/>
              </w:rPr>
            </w:pPr>
          </w:p>
        </w:tc>
        <w:tc>
          <w:tcPr>
            <w:tcW w:w="51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textAlignment w:val="baseline"/>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aseline"/>
              <w:rPr>
                <w:rFonts w:ascii="宋体" w:hAnsi="宋体"/>
                <w:bCs/>
                <w:sz w:val="18"/>
                <w:szCs w:val="18"/>
              </w:rPr>
            </w:pPr>
            <w:r>
              <w:rPr>
                <w:rFonts w:ascii="宋体" w:hAnsi="宋体"/>
                <w:bCs/>
                <w:sz w:val="18"/>
                <w:szCs w:val="18"/>
              </w:rPr>
              <w:t>1</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投标供应商必须具备以下基本条件</w:t>
            </w:r>
            <w:r>
              <w:rPr>
                <w:rFonts w:ascii="宋体" w:hAnsi="宋体"/>
                <w:sz w:val="18"/>
                <w:szCs w:val="18"/>
              </w:rPr>
              <w:t>：</w:t>
            </w:r>
          </w:p>
          <w:p>
            <w:pPr>
              <w:widowControl/>
              <w:snapToGrid w:val="0"/>
              <w:jc w:val="left"/>
              <w:textAlignment w:val="baseline"/>
              <w:rPr>
                <w:rFonts w:ascii="宋体" w:hAnsi="宋体"/>
                <w:sz w:val="18"/>
                <w:szCs w:val="18"/>
              </w:rPr>
            </w:pPr>
            <w:r>
              <w:rPr>
                <w:rFonts w:hint="eastAsia" w:ascii="宋体" w:hAnsi="宋体"/>
                <w:sz w:val="18"/>
                <w:szCs w:val="18"/>
              </w:rPr>
              <w:t>1.具有独立承担民事责任的能力；</w:t>
            </w:r>
          </w:p>
          <w:p>
            <w:pPr>
              <w:widowControl/>
              <w:snapToGrid w:val="0"/>
              <w:jc w:val="left"/>
              <w:textAlignment w:val="baseline"/>
              <w:rPr>
                <w:rFonts w:ascii="宋体" w:hAnsi="宋体"/>
                <w:sz w:val="18"/>
                <w:szCs w:val="18"/>
              </w:rPr>
            </w:pPr>
            <w:r>
              <w:rPr>
                <w:rFonts w:hint="eastAsia" w:ascii="宋体" w:hAnsi="宋体"/>
                <w:sz w:val="18"/>
                <w:szCs w:val="18"/>
              </w:rPr>
              <w:t>2.具有良好的商业信誉和健全的财务会计制度；</w:t>
            </w:r>
          </w:p>
          <w:p>
            <w:pPr>
              <w:widowControl/>
              <w:snapToGrid w:val="0"/>
              <w:jc w:val="left"/>
              <w:textAlignment w:val="baseline"/>
              <w:rPr>
                <w:rFonts w:ascii="宋体" w:hAnsi="宋体"/>
                <w:sz w:val="18"/>
                <w:szCs w:val="18"/>
              </w:rPr>
            </w:pPr>
            <w:r>
              <w:rPr>
                <w:rFonts w:hint="eastAsia" w:ascii="宋体" w:hAnsi="宋体"/>
                <w:sz w:val="18"/>
                <w:szCs w:val="18"/>
              </w:rPr>
              <w:t>3.具有履行合同所必需的设备和专业技术能力；</w:t>
            </w:r>
          </w:p>
          <w:p>
            <w:pPr>
              <w:widowControl/>
              <w:snapToGrid w:val="0"/>
              <w:jc w:val="left"/>
              <w:textAlignment w:val="baseline"/>
              <w:rPr>
                <w:rFonts w:ascii="宋体" w:hAnsi="宋体"/>
                <w:sz w:val="18"/>
                <w:szCs w:val="18"/>
              </w:rPr>
            </w:pPr>
            <w:r>
              <w:rPr>
                <w:rFonts w:hint="eastAsia" w:ascii="宋体" w:hAnsi="宋体"/>
                <w:sz w:val="18"/>
                <w:szCs w:val="18"/>
              </w:rPr>
              <w:t>4.有依法缴纳税收和社会保障资金的良好记录；</w:t>
            </w:r>
          </w:p>
          <w:p>
            <w:pPr>
              <w:widowControl/>
              <w:snapToGrid w:val="0"/>
              <w:jc w:val="left"/>
              <w:textAlignment w:val="baseline"/>
              <w:rPr>
                <w:rFonts w:ascii="宋体" w:hAnsi="宋体"/>
                <w:sz w:val="18"/>
                <w:szCs w:val="18"/>
              </w:rPr>
            </w:pPr>
            <w:r>
              <w:rPr>
                <w:rFonts w:hint="eastAsia" w:ascii="宋体" w:hAnsi="宋体"/>
                <w:sz w:val="18"/>
                <w:szCs w:val="18"/>
              </w:rPr>
              <w:t>5.前三年内，在经营活动中没有重大违法记录；</w:t>
            </w:r>
          </w:p>
          <w:p>
            <w:pPr>
              <w:widowControl/>
              <w:snapToGrid w:val="0"/>
              <w:jc w:val="left"/>
              <w:textAlignment w:val="baseline"/>
              <w:rPr>
                <w:rFonts w:ascii="宋体" w:hAnsi="宋体"/>
                <w:sz w:val="18"/>
                <w:szCs w:val="18"/>
              </w:rPr>
            </w:pPr>
            <w:r>
              <w:rPr>
                <w:rFonts w:hint="eastAsia" w:ascii="宋体" w:hAnsi="宋体"/>
                <w:sz w:val="18"/>
                <w:szCs w:val="18"/>
              </w:rPr>
              <w:t>6.法律、行政法规规定的其他条件。</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提供投标供应商声明函</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提供投标供应商声明函（格式见附件1，若为联合体投标，由联合体牵头单位提供，双方均须加盖公章）</w:t>
            </w:r>
          </w:p>
        </w:tc>
        <w:tc>
          <w:tcPr>
            <w:tcW w:w="51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aseline"/>
              <w:rPr>
                <w:rFonts w:ascii="宋体" w:hAnsi="宋体"/>
                <w:bCs/>
                <w:sz w:val="18"/>
                <w:szCs w:val="18"/>
              </w:rPr>
            </w:pPr>
            <w:r>
              <w:rPr>
                <w:rFonts w:hint="eastAsia" w:ascii="宋体" w:hAnsi="宋体"/>
                <w:bCs/>
                <w:sz w:val="18"/>
                <w:szCs w:val="18"/>
              </w:rPr>
              <w:t>2</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法定代表人身份证明书</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法定代表人身份证明书</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r>
              <w:rPr>
                <w:rFonts w:hint="eastAsia" w:ascii="宋体" w:hAnsi="宋体"/>
                <w:sz w:val="18"/>
                <w:szCs w:val="18"/>
              </w:rPr>
              <w:t>法定代表人身份证明书（格式见附件2，若为联合体投标，由联合体牵头单位提供即可）</w:t>
            </w:r>
          </w:p>
        </w:tc>
        <w:tc>
          <w:tcPr>
            <w:tcW w:w="51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textAlignment w:val="baseline"/>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aseline"/>
              <w:rPr>
                <w:rFonts w:ascii="宋体" w:hAnsi="宋体"/>
                <w:bCs/>
                <w:sz w:val="18"/>
                <w:szCs w:val="18"/>
              </w:rPr>
            </w:pPr>
            <w:r>
              <w:rPr>
                <w:rFonts w:hint="eastAsia" w:ascii="宋体" w:hAnsi="宋体"/>
                <w:bCs/>
                <w:sz w:val="18"/>
                <w:szCs w:val="18"/>
              </w:rPr>
              <w:t>3</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法定代表人授权委托书原件，投标代表本人身份证复印件</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法定代表人授权委托书原件，投标代表本人身份证复印件</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r>
              <w:rPr>
                <w:rFonts w:hint="eastAsia" w:ascii="宋体" w:hAnsi="宋体"/>
                <w:sz w:val="18"/>
                <w:szCs w:val="18"/>
              </w:rPr>
              <w:t>法定代表人授权委托书原件，投标代表本人身份证复印件（格式见附件3，若为联合体投标，由联合体牵头单位提供即可）</w:t>
            </w:r>
          </w:p>
        </w:tc>
        <w:tc>
          <w:tcPr>
            <w:tcW w:w="51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textAlignment w:val="baseline"/>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aseline"/>
              <w:rPr>
                <w:rFonts w:ascii="宋体" w:hAnsi="宋体"/>
                <w:bCs/>
                <w:sz w:val="18"/>
                <w:szCs w:val="18"/>
              </w:rPr>
            </w:pPr>
            <w:r>
              <w:rPr>
                <w:rFonts w:hint="eastAsia" w:ascii="宋体" w:hAnsi="宋体"/>
                <w:bCs/>
                <w:sz w:val="18"/>
                <w:szCs w:val="18"/>
              </w:rPr>
              <w:t>4</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投标供应商应具有中华人民共和国境内注册的法人资格，提供有效的营业执照或事业单位法人证书</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提供投标供应商有效的企业法人营业执照或事业单位法人登记证明</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r>
              <w:rPr>
                <w:rFonts w:hint="eastAsia" w:ascii="宋体" w:hAnsi="宋体"/>
                <w:sz w:val="18"/>
                <w:szCs w:val="18"/>
              </w:rPr>
              <w:t>提供投标供应商有效的企业法人营业执照或事业单位法人登记证明复印件（或扫描件）并加盖投标供应商公章（若为联合体投标，双方均须提供）</w:t>
            </w:r>
          </w:p>
        </w:tc>
        <w:tc>
          <w:tcPr>
            <w:tcW w:w="51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textAlignment w:val="baseline"/>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aseline"/>
              <w:rPr>
                <w:rFonts w:ascii="宋体" w:hAnsi="宋体"/>
                <w:bCs/>
                <w:sz w:val="18"/>
                <w:szCs w:val="18"/>
              </w:rPr>
            </w:pPr>
            <w:r>
              <w:rPr>
                <w:rFonts w:hint="eastAsia" w:ascii="宋体" w:hAnsi="宋体"/>
                <w:bCs/>
                <w:sz w:val="18"/>
                <w:szCs w:val="18"/>
              </w:rPr>
              <w:t>5</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投标供应商如委托被授权人参与，则被授权人须为投标供应商正式职工并提供投标供应商为其缴纳的投标截止时间前三个月（不含投标截止时间当月）中至少一个月的养老保险缴纳证明材料，事业单位无法提供社保证明的，须提供本单位盖章的承诺证明</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提供投标供应商为其缴纳的投标截止时间前三个月（不含投标截止时间当月）中至少一个月的养老保险缴纳证明材料，事业单位无法提供社保证明的，须提供本单位盖章的承诺证明</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r>
              <w:rPr>
                <w:rFonts w:hint="eastAsia" w:ascii="宋体" w:hAnsi="宋体"/>
                <w:sz w:val="18"/>
                <w:szCs w:val="18"/>
              </w:rPr>
              <w:t>提供投标供应商为其缴纳的投标截止时间前三个月（不含投标截止时间当月）中至少一个月的养老保险缴纳证明材料复印件（或扫描件）并加盖投标供应商公章，事业单位无法提供社保证明的，须提供本单位盖章的承诺证明</w:t>
            </w:r>
          </w:p>
        </w:tc>
        <w:tc>
          <w:tcPr>
            <w:tcW w:w="51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textAlignment w:val="baseline"/>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bCs/>
                <w:sz w:val="18"/>
                <w:szCs w:val="18"/>
              </w:rPr>
              <w:t>6</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未被“信用中国”网站（www.creditchina.gov.cn）列入失信被执行人、重大税收违法失信主体、政府采购严重违法失信行为记录名单</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contextualSpacing/>
              <w:jc w:val="left"/>
              <w:textAlignment w:val="baseline"/>
              <w:rPr>
                <w:rFonts w:ascii="宋体" w:hAnsi="宋体"/>
                <w:sz w:val="18"/>
                <w:szCs w:val="18"/>
              </w:rPr>
            </w:pPr>
            <w:r>
              <w:rPr>
                <w:rFonts w:hint="eastAsia" w:ascii="宋体" w:hAnsi="宋体"/>
                <w:sz w:val="18"/>
                <w:szCs w:val="18"/>
              </w:rPr>
              <w:t>未被“信用中国”网站（www.creditchina.gov.cn）列入失信被执行人、重大税收违法失信主体、政府采购严重违法失信行为记录名单</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若为联合体形式参与投标，双方均需满足要求，无需提供材料，现场核查。</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bCs/>
                <w:sz w:val="18"/>
                <w:szCs w:val="18"/>
              </w:rPr>
            </w:pPr>
            <w:r>
              <w:rPr>
                <w:rFonts w:hint="eastAsia" w:ascii="宋体" w:hAnsi="宋体"/>
                <w:bCs/>
                <w:sz w:val="18"/>
                <w:szCs w:val="18"/>
              </w:rPr>
              <w:t>7</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本项目接受联合体投标</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contextualSpacing/>
              <w:jc w:val="left"/>
              <w:textAlignment w:val="baseline"/>
              <w:rPr>
                <w:rFonts w:ascii="宋体" w:hAnsi="宋体"/>
                <w:sz w:val="18"/>
                <w:szCs w:val="18"/>
              </w:rPr>
            </w:pPr>
            <w:r>
              <w:rPr>
                <w:rFonts w:hint="eastAsia" w:ascii="宋体" w:hAnsi="宋体"/>
                <w:sz w:val="18"/>
                <w:szCs w:val="18"/>
              </w:rPr>
              <w:t>如为联合体投标，须提供联合体协议书（联合体投标需提供，投标文件正本必须为原件）</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如为联合体投标，须提供联合体协议书（联合体投标需提供，投标文件正本必须为原件）（格式见附件4）</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bCs/>
                <w:sz w:val="18"/>
                <w:szCs w:val="18"/>
              </w:rPr>
            </w:pPr>
            <w:r>
              <w:rPr>
                <w:rFonts w:hint="eastAsia" w:ascii="宋体" w:hAnsi="宋体"/>
                <w:bCs/>
                <w:sz w:val="18"/>
                <w:szCs w:val="18"/>
              </w:rPr>
              <w:t>8</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投标供应商信用承诺书</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contextualSpacing/>
              <w:jc w:val="left"/>
              <w:textAlignment w:val="baseline"/>
              <w:rPr>
                <w:rFonts w:ascii="宋体" w:hAnsi="宋体"/>
                <w:sz w:val="18"/>
                <w:szCs w:val="18"/>
              </w:rPr>
            </w:pPr>
            <w:r>
              <w:rPr>
                <w:rFonts w:hint="eastAsia" w:ascii="宋体" w:hAnsi="宋体"/>
                <w:sz w:val="18"/>
                <w:szCs w:val="18"/>
              </w:rPr>
              <w:t>投标供应商信用承诺书</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投标供应商信用承诺书（格式见附件5，若为联合体投标，由联合体牵头单位提供即可）</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9</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单位负责人名下企业及单位</w:t>
            </w:r>
            <w:r>
              <w:rPr>
                <w:rFonts w:ascii="宋体" w:hAnsi="宋体"/>
                <w:sz w:val="18"/>
                <w:szCs w:val="18"/>
              </w:rPr>
              <w:t>控股、管理关系</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单位负责人为同一人或者存在直接控股、管理关系的不同投标供应商,不得参加同一合同项下的国企采购活动</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r>
              <w:rPr>
                <w:rFonts w:hint="eastAsia" w:ascii="宋体" w:hAnsi="宋体"/>
                <w:sz w:val="18"/>
                <w:szCs w:val="18"/>
              </w:rPr>
              <w:t>提供证明材料，没有写“无”</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10</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投标供应商业绩</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投标供应商承担过已完类似的业绩【类似业绩指：指与海岸带生态修复和保护或海滩生态修复和保护、或湿地生态修复和保护、或水系综合治理(仅限河、湖、海洋岸带的水系综合治理）项目】</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r>
              <w:rPr>
                <w:rFonts w:hint="eastAsia" w:ascii="宋体" w:hAnsi="宋体"/>
                <w:sz w:val="18"/>
                <w:szCs w:val="18"/>
              </w:rPr>
              <w:t>需同时提供中标（或成交）通知书（或直接委托证明）、项目合同及项目已完证明（如专家评审意见或验收证书或业主单位证明等）的复印件并加盖公章，三者缺一不可</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11</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ascii="宋体" w:hAnsi="宋体"/>
                <w:sz w:val="18"/>
                <w:szCs w:val="18"/>
              </w:rPr>
              <w:t>其它需要提交的资格审查证明材料</w:t>
            </w:r>
            <w:r>
              <w:rPr>
                <w:rFonts w:hint="eastAsia" w:ascii="宋体" w:hAnsi="宋体"/>
                <w:sz w:val="18"/>
                <w:szCs w:val="18"/>
              </w:rPr>
              <w:t>（如有）</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二</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商务技术标</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12</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投标供应商情况一览表</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投标供应商情况一览表</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投标人情况一览表（格式见附件6，若为联合体投标则双方均须提供）</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13</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商务部分正负偏离表</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商务部分正负偏离表</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商务部分正负偏离表（格式见附件7，若为联合体投标，由联合体牵头单位提供即可）</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14</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技术部分正负偏离表</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技术部分正负偏离表</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技术部分正负偏离表（格式见附件8，若为联合体投标，由联合体牵头单位提供即可）</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15</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评标办法中涉及的商务技术标相关内容及商务技术评分标准中须提供的相关得分佐证材料</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1.实施方案</w:t>
            </w:r>
          </w:p>
          <w:p>
            <w:pPr>
              <w:widowControl/>
              <w:snapToGrid w:val="0"/>
              <w:jc w:val="left"/>
              <w:textAlignment w:val="baseline"/>
              <w:rPr>
                <w:rFonts w:ascii="宋体" w:hAnsi="宋体"/>
                <w:sz w:val="18"/>
                <w:szCs w:val="18"/>
              </w:rPr>
            </w:pPr>
            <w:r>
              <w:rPr>
                <w:rFonts w:hint="eastAsia" w:ascii="宋体" w:hAnsi="宋体"/>
                <w:sz w:val="18"/>
                <w:szCs w:val="18"/>
              </w:rPr>
              <w:t>2.业绩证明材料</w:t>
            </w:r>
          </w:p>
          <w:p>
            <w:pPr>
              <w:widowControl/>
              <w:snapToGrid w:val="0"/>
              <w:jc w:val="left"/>
              <w:textAlignment w:val="baseline"/>
              <w:rPr>
                <w:rFonts w:ascii="宋体" w:hAnsi="宋体"/>
                <w:sz w:val="18"/>
                <w:szCs w:val="18"/>
              </w:rPr>
            </w:pPr>
            <w:r>
              <w:rPr>
                <w:rFonts w:hint="eastAsia" w:ascii="宋体" w:hAnsi="宋体"/>
                <w:sz w:val="18"/>
                <w:szCs w:val="18"/>
              </w:rPr>
              <w:t>3.人员团队证明材料</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r>
              <w:rPr>
                <w:rFonts w:hint="eastAsia" w:ascii="宋体" w:hAnsi="宋体"/>
                <w:sz w:val="18"/>
                <w:szCs w:val="18"/>
              </w:rPr>
              <w:t>按照评分标准提供相应的材料及方案，文件目录前提供评分索引</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16</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投标供应商认为需要提交的其他商务技术材料（如有）</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三</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价格标</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17</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开标一览表</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开标一览表</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r>
              <w:rPr>
                <w:rFonts w:hint="eastAsia" w:ascii="宋体" w:hAnsi="宋体"/>
                <w:sz w:val="18"/>
                <w:szCs w:val="18"/>
              </w:rPr>
              <w:t>开标一览表（格式见附件9，若为联合体投标，双方均须加盖公章）</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18</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分项报价明细表</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分项报价明细表</w:t>
            </w:r>
          </w:p>
        </w:tc>
        <w:tc>
          <w:tcPr>
            <w:tcW w:w="2134"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分项报价明细表（格式见附件10，若为联合体投标，双方均须加盖公章）</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19</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ascii="宋体" w:hAnsi="宋体"/>
                <w:sz w:val="18"/>
                <w:szCs w:val="18"/>
              </w:rPr>
              <w:t>中小企业声明函</w:t>
            </w:r>
            <w:r>
              <w:rPr>
                <w:rFonts w:hint="eastAsia" w:ascii="宋体" w:hAnsi="宋体"/>
                <w:sz w:val="18"/>
                <w:szCs w:val="18"/>
              </w:rPr>
              <w:t>（如有）</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r>
              <w:rPr>
                <w:rFonts w:hint="eastAsia" w:ascii="宋体" w:hAnsi="宋体"/>
                <w:sz w:val="18"/>
                <w:szCs w:val="18"/>
              </w:rPr>
              <w:t>格式见附件11，若为联合体投标，双方均需提供</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20</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残疾人福利性单位声明函（如有）</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r>
              <w:rPr>
                <w:rFonts w:hint="eastAsia" w:ascii="宋体" w:hAnsi="宋体"/>
                <w:sz w:val="18"/>
                <w:szCs w:val="18"/>
              </w:rPr>
              <w:t>格式见附件12，若为联合体投标，双方均需提供</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textAlignment w:val="baseline"/>
              <w:rPr>
                <w:rFonts w:ascii="宋体" w:hAnsi="宋体"/>
                <w:sz w:val="18"/>
                <w:szCs w:val="18"/>
              </w:rPr>
            </w:pPr>
            <w:r>
              <w:rPr>
                <w:rFonts w:hint="eastAsia" w:ascii="宋体" w:hAnsi="宋体"/>
                <w:sz w:val="18"/>
                <w:szCs w:val="18"/>
              </w:rPr>
              <w:t>21</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r>
              <w:rPr>
                <w:rFonts w:hint="eastAsia" w:ascii="宋体" w:hAnsi="宋体"/>
                <w:sz w:val="18"/>
                <w:szCs w:val="18"/>
              </w:rPr>
              <w:t>监狱和戒毒企业证明材料（如有）</w:t>
            </w:r>
          </w:p>
        </w:tc>
        <w:tc>
          <w:tcPr>
            <w:tcW w:w="3732" w:type="dxa"/>
            <w:tcBorders>
              <w:top w:val="single" w:color="auto" w:sz="4" w:space="0"/>
              <w:left w:val="single" w:color="auto" w:sz="4" w:space="0"/>
              <w:bottom w:val="single" w:color="auto" w:sz="4" w:space="0"/>
              <w:right w:val="single" w:color="auto" w:sz="4" w:space="0"/>
            </w:tcBorders>
            <w:vAlign w:val="center"/>
          </w:tcPr>
          <w:p>
            <w:pPr>
              <w:widowControl/>
              <w:snapToGrid w:val="0"/>
              <w:jc w:val="left"/>
              <w:textAlignment w:val="baseline"/>
              <w:rPr>
                <w:rFonts w:ascii="宋体" w:hAnsi="宋体"/>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r>
              <w:rPr>
                <w:rFonts w:hint="eastAsia" w:ascii="宋体" w:hAnsi="宋体"/>
                <w:sz w:val="18"/>
                <w:szCs w:val="18"/>
              </w:rPr>
              <w:t>格式见附件13，若为联合体投标，双方均需提供</w:t>
            </w:r>
          </w:p>
        </w:tc>
        <w:tc>
          <w:tcPr>
            <w:tcW w:w="513" w:type="dxa"/>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97" w:type="dxa"/>
            <w:gridSpan w:val="5"/>
            <w:tcBorders>
              <w:top w:val="single" w:color="auto" w:sz="4" w:space="0"/>
              <w:left w:val="single" w:color="auto" w:sz="4" w:space="0"/>
              <w:bottom w:val="single" w:color="auto" w:sz="4" w:space="0"/>
              <w:right w:val="single" w:color="auto" w:sz="4" w:space="0"/>
            </w:tcBorders>
            <w:vAlign w:val="center"/>
          </w:tcPr>
          <w:p>
            <w:pPr>
              <w:widowControl/>
              <w:jc w:val="left"/>
              <w:textAlignment w:val="baseline"/>
              <w:rPr>
                <w:rFonts w:ascii="宋体" w:hAnsi="宋体"/>
                <w:b/>
                <w:bCs/>
                <w:sz w:val="18"/>
                <w:szCs w:val="18"/>
              </w:rPr>
            </w:pPr>
            <w:r>
              <w:rPr>
                <w:rFonts w:ascii="宋体" w:hAnsi="宋体"/>
                <w:b/>
                <w:bCs/>
                <w:sz w:val="18"/>
                <w:szCs w:val="18"/>
              </w:rPr>
              <w:t>备注：</w:t>
            </w:r>
          </w:p>
          <w:p>
            <w:pPr>
              <w:widowControl/>
              <w:jc w:val="left"/>
              <w:textAlignment w:val="baseline"/>
              <w:rPr>
                <w:rFonts w:ascii="宋体" w:hAnsi="宋体"/>
                <w:b/>
                <w:bCs/>
                <w:sz w:val="18"/>
                <w:szCs w:val="18"/>
              </w:rPr>
            </w:pPr>
            <w:r>
              <w:rPr>
                <w:rFonts w:ascii="宋体" w:hAnsi="宋体"/>
                <w:b/>
                <w:bCs/>
                <w:sz w:val="18"/>
                <w:szCs w:val="18"/>
              </w:rPr>
              <w:t>①若在评审过程中，发现提供资格审查材料虚假，则资格审查不通过，记不良行为一次并网上公示。</w:t>
            </w:r>
          </w:p>
          <w:p>
            <w:pPr>
              <w:widowControl/>
              <w:jc w:val="left"/>
              <w:textAlignment w:val="baseline"/>
              <w:rPr>
                <w:rFonts w:ascii="宋体" w:hAnsi="宋体"/>
                <w:b/>
                <w:bCs/>
                <w:sz w:val="18"/>
                <w:szCs w:val="18"/>
              </w:rPr>
            </w:pPr>
            <w:r>
              <w:rPr>
                <w:rFonts w:ascii="宋体" w:hAnsi="宋体"/>
                <w:b/>
                <w:bCs/>
                <w:sz w:val="18"/>
                <w:szCs w:val="18"/>
              </w:rPr>
              <w:t>②上述</w:t>
            </w:r>
            <w:r>
              <w:rPr>
                <w:rFonts w:hint="eastAsia" w:ascii="宋体" w:hAnsi="宋体"/>
                <w:b/>
                <w:bCs/>
                <w:sz w:val="18"/>
                <w:szCs w:val="18"/>
              </w:rPr>
              <w:t>材料需清晰，否则可认定资格审查不通过。</w:t>
            </w:r>
          </w:p>
          <w:p>
            <w:pPr>
              <w:keepNext/>
              <w:keepLines/>
              <w:widowControl/>
              <w:spacing w:before="120" w:after="120"/>
              <w:textAlignment w:val="baseline"/>
              <w:outlineLvl w:val="2"/>
              <w:rPr>
                <w:rFonts w:ascii="宋体" w:hAnsi="宋体" w:eastAsia="黑体"/>
                <w:bCs/>
                <w:sz w:val="18"/>
                <w:szCs w:val="18"/>
              </w:rPr>
            </w:pPr>
            <w:r>
              <w:rPr>
                <w:rFonts w:hint="eastAsia" w:ascii="宋体" w:hAnsi="宋体"/>
                <w:b/>
                <w:bCs/>
                <w:sz w:val="18"/>
                <w:szCs w:val="18"/>
              </w:rPr>
              <w:t>③上述</w:t>
            </w:r>
            <w:r>
              <w:rPr>
                <w:rFonts w:ascii="宋体" w:hAnsi="宋体"/>
                <w:b/>
                <w:bCs/>
                <w:sz w:val="18"/>
                <w:szCs w:val="18"/>
              </w:rPr>
              <w:t>(1)</w:t>
            </w:r>
            <w:r>
              <w:rPr>
                <w:rFonts w:hint="eastAsia" w:ascii="宋体" w:hAnsi="宋体"/>
                <w:b/>
                <w:bCs/>
                <w:sz w:val="18"/>
                <w:szCs w:val="18"/>
              </w:rPr>
              <w:t>～（11）项装订至“资格审查证明材料”部分，其中任何一条未提供或者不符合要求，则资格审查不通过；（12）～（</w:t>
            </w:r>
            <w:r>
              <w:rPr>
                <w:rFonts w:ascii="宋体" w:hAnsi="宋体"/>
                <w:b/>
                <w:bCs/>
                <w:sz w:val="18"/>
                <w:szCs w:val="18"/>
              </w:rPr>
              <w:t>1</w:t>
            </w:r>
            <w:r>
              <w:rPr>
                <w:rFonts w:hint="eastAsia" w:ascii="宋体" w:hAnsi="宋体"/>
                <w:b/>
                <w:bCs/>
                <w:sz w:val="18"/>
                <w:szCs w:val="18"/>
              </w:rPr>
              <w:t>6）项装订至商务技术标部分；（17）～（21）项装订至价格标部分。</w:t>
            </w:r>
          </w:p>
          <w:p>
            <w:pPr>
              <w:widowControl/>
              <w:jc w:val="left"/>
              <w:textAlignment w:val="baseline"/>
              <w:rPr>
                <w:rFonts w:ascii="宋体" w:hAnsi="宋体"/>
                <w:b/>
                <w:bCs/>
                <w:sz w:val="18"/>
                <w:szCs w:val="18"/>
              </w:rPr>
            </w:pPr>
            <w:r>
              <w:rPr>
                <w:rFonts w:hint="eastAsia" w:ascii="宋体" w:hAnsi="宋体" w:cs="宋体"/>
                <w:b/>
                <w:bCs/>
                <w:sz w:val="18"/>
                <w:szCs w:val="18"/>
              </w:rPr>
              <w:t>④</w:t>
            </w:r>
            <w:r>
              <w:rPr>
                <w:rFonts w:ascii="宋体" w:hAnsi="宋体"/>
                <w:b/>
                <w:bCs/>
                <w:sz w:val="18"/>
                <w:szCs w:val="18"/>
              </w:rPr>
              <w:t>如法人名称和法定代表人姓名发生变化，请提供相关证明；证书如遇年检，请提供相关证明。否则，资格审查不通过。</w:t>
            </w:r>
          </w:p>
        </w:tc>
      </w:tr>
    </w:tbl>
    <w:p>
      <w:pPr>
        <w:pStyle w:val="19"/>
      </w:pPr>
    </w:p>
    <w:p>
      <w:pPr>
        <w:adjustRightInd w:val="0"/>
        <w:snapToGrid w:val="0"/>
        <w:spacing w:line="360" w:lineRule="auto"/>
        <w:ind w:firstLine="482" w:firstLineChars="200"/>
        <w:jc w:val="left"/>
        <w:rPr>
          <w:rFonts w:ascii="宋体" w:hAnsi="宋体" w:cs="宋体"/>
          <w:b/>
          <w:sz w:val="24"/>
        </w:rPr>
      </w:pPr>
      <w:r>
        <w:rPr>
          <w:rFonts w:hint="eastAsia" w:ascii="宋体" w:hAnsi="宋体" w:cs="宋体"/>
          <w:b/>
          <w:sz w:val="24"/>
        </w:rPr>
        <w:t>投标文件由资格审查证明材料、商务技术标、价格标三部分组成。</w:t>
      </w:r>
    </w:p>
    <w:p>
      <w:pPr>
        <w:adjustRightInd w:val="0"/>
        <w:snapToGrid w:val="0"/>
        <w:spacing w:line="360" w:lineRule="auto"/>
        <w:ind w:firstLine="482" w:firstLineChars="200"/>
        <w:rPr>
          <w:rFonts w:ascii="宋体" w:hAnsi="宋体" w:cs="宋体"/>
          <w:b/>
          <w:bCs/>
          <w:kern w:val="0"/>
          <w:sz w:val="24"/>
          <w:lang w:val="zh-CN"/>
        </w:rPr>
      </w:pPr>
      <w:r>
        <w:rPr>
          <w:rFonts w:hint="eastAsia" w:ascii="宋体" w:hAnsi="宋体" w:cs="宋体"/>
          <w:b/>
          <w:bCs/>
          <w:kern w:val="0"/>
          <w:sz w:val="24"/>
          <w:lang w:val="zh-CN"/>
        </w:rPr>
        <w:t>一、资格审查证明材料（不能出现价格标）</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1.投标供应商声明函（格式见附件1，若为联合体投标，由联合体牵头单位提供，</w:t>
      </w:r>
      <w:r>
        <w:rPr>
          <w:rFonts w:hint="eastAsia" w:ascii="宋体" w:hAnsi="宋体" w:cs="宋体"/>
          <w:kern w:val="0"/>
          <w:sz w:val="24"/>
        </w:rPr>
        <w:t>双方均须加盖公章</w:t>
      </w:r>
      <w:r>
        <w:rPr>
          <w:rFonts w:hint="eastAsia" w:ascii="宋体" w:hAnsi="宋体" w:cs="宋体"/>
          <w:kern w:val="0"/>
          <w:sz w:val="24"/>
          <w:lang w:val="zh-CN"/>
        </w:rPr>
        <w:t>）；</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2.法定代表人身份证明书（格式见附件2，</w:t>
      </w:r>
      <w:r>
        <w:rPr>
          <w:rFonts w:hint="eastAsia" w:ascii="宋体" w:hAnsi="宋体" w:cs="宋体"/>
          <w:bCs/>
          <w:kern w:val="0"/>
          <w:sz w:val="24"/>
        </w:rPr>
        <w:t>若为联合体投标，由联合体牵头单位提供即可</w:t>
      </w:r>
      <w:r>
        <w:rPr>
          <w:rFonts w:hint="eastAsia" w:ascii="宋体" w:hAnsi="宋体" w:cs="宋体"/>
          <w:kern w:val="0"/>
          <w:sz w:val="24"/>
          <w:lang w:val="zh-CN"/>
        </w:rPr>
        <w:t>）；</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3.法定代表人授权委托书原件，投标代表本人身份证复印件（格式见附件3，</w:t>
      </w:r>
      <w:r>
        <w:rPr>
          <w:rFonts w:hint="eastAsia" w:ascii="宋体" w:hAnsi="宋体" w:cs="宋体"/>
          <w:bCs/>
          <w:kern w:val="0"/>
          <w:sz w:val="24"/>
        </w:rPr>
        <w:t>若为联合体投标，由联合体牵头单位提供即可</w:t>
      </w:r>
      <w:r>
        <w:rPr>
          <w:rFonts w:hint="eastAsia" w:ascii="宋体" w:hAnsi="宋体" w:cs="宋体"/>
          <w:kern w:val="0"/>
          <w:sz w:val="24"/>
          <w:lang w:val="zh-CN"/>
        </w:rPr>
        <w:t>）；</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4</w:t>
      </w:r>
      <w:r>
        <w:rPr>
          <w:rFonts w:ascii="宋体" w:hAnsi="宋体" w:cs="宋体"/>
          <w:kern w:val="0"/>
          <w:sz w:val="24"/>
          <w:lang w:val="zh-CN"/>
        </w:rPr>
        <w:t>.</w:t>
      </w:r>
      <w:r>
        <w:rPr>
          <w:rFonts w:hint="eastAsia" w:ascii="宋体" w:hAnsi="宋体" w:cs="宋体"/>
          <w:kern w:val="0"/>
          <w:sz w:val="24"/>
          <w:lang w:val="zh-CN"/>
        </w:rPr>
        <w:t xml:space="preserve"> 按招标公告资格要求提供相应的佐证材料（以下佐证材料须提供复印件（或扫描件）并加盖投标供应商公章）：</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（1）提供投标供应商有效的企业法人营业执照或事业单位法人登记证明</w:t>
      </w:r>
      <w:r>
        <w:rPr>
          <w:rFonts w:hint="eastAsia" w:ascii="宋体" w:hAnsi="宋体" w:cs="宋体"/>
          <w:bCs/>
          <w:kern w:val="0"/>
          <w:sz w:val="24"/>
          <w:lang w:val="zh-CN"/>
        </w:rPr>
        <w:t>（</w:t>
      </w:r>
      <w:r>
        <w:rPr>
          <w:rFonts w:hint="eastAsia" w:ascii="宋体" w:hAnsi="宋体" w:cs="宋体"/>
          <w:bCs/>
          <w:kern w:val="0"/>
          <w:sz w:val="24"/>
        </w:rPr>
        <w:t>若为联合体投标，双方均须提供</w:t>
      </w:r>
      <w:r>
        <w:rPr>
          <w:rFonts w:hint="eastAsia" w:ascii="宋体" w:hAnsi="宋体" w:cs="宋体"/>
          <w:bCs/>
          <w:kern w:val="0"/>
          <w:sz w:val="24"/>
          <w:lang w:val="zh-CN"/>
        </w:rPr>
        <w:t>）</w:t>
      </w:r>
      <w:r>
        <w:rPr>
          <w:rFonts w:hint="eastAsia" w:ascii="宋体" w:hAnsi="宋体" w:cs="宋体"/>
          <w:kern w:val="0"/>
          <w:sz w:val="24"/>
          <w:lang w:val="zh-CN"/>
        </w:rPr>
        <w:t>；</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w:t>
      </w:r>
      <w:r>
        <w:rPr>
          <w:rFonts w:hint="eastAsia" w:ascii="宋体" w:hAnsi="宋体" w:cs="宋体"/>
          <w:sz w:val="24"/>
        </w:rPr>
        <w:t>投标供应商如委托被授权人参与，则被授权人须为投标供应商正式职工并提供投标供应商为其缴纳的投标截止时间前三个月（不含投标截止时间当月）中至少一个月的养老保险缴纳证明材料，事业单位无法提供社保证明的，须提供本单位盖章的承诺证明；</w:t>
      </w:r>
    </w:p>
    <w:p>
      <w:pPr>
        <w:adjustRightInd w:val="0"/>
        <w:snapToGrid w:val="0"/>
        <w:spacing w:line="360" w:lineRule="auto"/>
        <w:ind w:firstLine="480" w:firstLineChars="200"/>
        <w:jc w:val="left"/>
        <w:rPr>
          <w:rFonts w:ascii="宋体" w:hAnsi="宋体" w:cs="宋体"/>
          <w:bCs/>
          <w:kern w:val="0"/>
          <w:sz w:val="24"/>
          <w:lang w:val="zh-CN"/>
        </w:rPr>
      </w:pPr>
      <w:r>
        <w:rPr>
          <w:rFonts w:hint="eastAsia" w:ascii="宋体" w:hAnsi="宋体" w:cs="宋体"/>
          <w:bCs/>
          <w:kern w:val="0"/>
          <w:sz w:val="24"/>
          <w:lang w:val="zh-CN"/>
        </w:rPr>
        <w:t>（3）未被“信用中国”网站（www.creditchina.gov.cn）列入失信被执行人、重大税收违法失信主体、政府采购严重违法失信行为记录名单</w:t>
      </w:r>
      <w:r>
        <w:rPr>
          <w:rFonts w:hint="eastAsia" w:ascii="宋体" w:hAnsi="宋体" w:cs="宋体"/>
          <w:sz w:val="24"/>
        </w:rPr>
        <w:t>（若为联合体形式参与投标，双方均需满足要求，无需提供材料，现场核查）</w:t>
      </w:r>
      <w:r>
        <w:rPr>
          <w:rFonts w:hint="eastAsia" w:ascii="宋体" w:hAnsi="宋体" w:cs="宋体"/>
          <w:bCs/>
          <w:kern w:val="0"/>
          <w:sz w:val="24"/>
          <w:lang w:val="zh-CN"/>
        </w:rPr>
        <w:t>；</w:t>
      </w:r>
    </w:p>
    <w:p>
      <w:pPr>
        <w:adjustRightInd w:val="0"/>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w:t>
      </w:r>
      <w:r>
        <w:rPr>
          <w:rFonts w:hint="eastAsia" w:ascii="宋体" w:hAnsi="宋体" w:cs="宋体"/>
          <w:bCs/>
          <w:kern w:val="0"/>
          <w:sz w:val="24"/>
        </w:rPr>
        <w:t>联合体协议书（联合体投标需提供，投标文件正本必须为原件）；</w:t>
      </w:r>
      <w:r>
        <w:rPr>
          <w:rFonts w:hint="eastAsia" w:ascii="宋体" w:hAnsi="宋体" w:cs="宋体"/>
          <w:bCs/>
          <w:kern w:val="0"/>
          <w:sz w:val="24"/>
          <w:lang w:val="zh-CN"/>
        </w:rPr>
        <w:t>（格式见附件</w:t>
      </w:r>
      <w:r>
        <w:rPr>
          <w:rFonts w:hint="eastAsia" w:ascii="宋体" w:hAnsi="宋体" w:cs="宋体"/>
          <w:bCs/>
          <w:kern w:val="0"/>
          <w:sz w:val="24"/>
        </w:rPr>
        <w:t>4</w:t>
      </w:r>
      <w:r>
        <w:rPr>
          <w:rFonts w:hint="eastAsia" w:ascii="宋体" w:hAnsi="宋体" w:cs="宋体"/>
          <w:bCs/>
          <w:kern w:val="0"/>
          <w:sz w:val="24"/>
          <w:lang w:val="zh-CN"/>
        </w:rPr>
        <w:t>）</w:t>
      </w:r>
      <w:r>
        <w:rPr>
          <w:rFonts w:hint="eastAsia" w:ascii="宋体" w:hAnsi="宋体" w:cs="宋体"/>
          <w:kern w:val="0"/>
          <w:sz w:val="24"/>
          <w:lang w:val="zh-CN"/>
        </w:rPr>
        <w:t>；</w:t>
      </w:r>
    </w:p>
    <w:p>
      <w:pPr>
        <w:adjustRightInd w:val="0"/>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5.投标供应商信用承诺书（格式见附件5，</w:t>
      </w:r>
      <w:r>
        <w:rPr>
          <w:rFonts w:hint="eastAsia" w:ascii="宋体" w:hAnsi="宋体" w:cs="宋体"/>
          <w:bCs/>
          <w:kern w:val="0"/>
          <w:sz w:val="24"/>
        </w:rPr>
        <w:t>若为联合体投标，由联合体牵头单位提供即可</w:t>
      </w:r>
      <w:r>
        <w:rPr>
          <w:rFonts w:hint="eastAsia" w:ascii="宋体" w:hAnsi="宋体" w:cs="宋体"/>
          <w:kern w:val="0"/>
          <w:sz w:val="24"/>
          <w:lang w:val="zh-CN"/>
        </w:rPr>
        <w:t>）；</w:t>
      </w:r>
    </w:p>
    <w:p>
      <w:pPr>
        <w:adjustRightInd w:val="0"/>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6</w:t>
      </w:r>
      <w:r>
        <w:rPr>
          <w:rFonts w:ascii="宋体" w:hAnsi="宋体" w:cs="宋体"/>
          <w:kern w:val="0"/>
          <w:sz w:val="24"/>
          <w:lang w:val="zh-CN"/>
        </w:rPr>
        <w:t>.</w:t>
      </w:r>
      <w:r>
        <w:rPr>
          <w:rFonts w:hint="eastAsia" w:ascii="宋体" w:hAnsi="宋体" w:cs="宋体"/>
          <w:kern w:val="0"/>
          <w:sz w:val="24"/>
          <w:lang w:val="zh-CN"/>
        </w:rPr>
        <w:t>投标供应商承担过已完类似的业绩【类似业绩指：指与海岸带生态修复和保护或海滩生态修复和保护、或湿地生态修复和保护、或水系综合治理(仅限河、湖、海洋岸带的水系综合治理）项目】。（需同时提供中标（或成交）通知书（或直接委托证明）、项目合同及项目已完证明（如专家评审意见或验收证书或业主单位证明等）的复印件并加盖公章，三者缺一不可。）</w:t>
      </w:r>
    </w:p>
    <w:p>
      <w:pPr>
        <w:adjustRightInd w:val="0"/>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rPr>
        <w:t>7.</w:t>
      </w:r>
      <w:r>
        <w:rPr>
          <w:rFonts w:ascii="宋体" w:hAnsi="宋体" w:cs="宋体"/>
          <w:kern w:val="0"/>
          <w:sz w:val="24"/>
          <w:lang w:val="zh-CN"/>
        </w:rPr>
        <w:t>其它需要提交的资格审查证明材料。</w:t>
      </w:r>
    </w:p>
    <w:p>
      <w:pPr>
        <w:adjustRightInd w:val="0"/>
        <w:snapToGrid w:val="0"/>
        <w:spacing w:line="360" w:lineRule="auto"/>
        <w:ind w:firstLine="482" w:firstLineChars="200"/>
        <w:rPr>
          <w:rFonts w:ascii="宋体" w:hAnsi="宋体" w:cs="宋体"/>
          <w:b/>
          <w:bCs/>
          <w:kern w:val="0"/>
          <w:sz w:val="24"/>
          <w:lang w:val="zh-CN"/>
        </w:rPr>
      </w:pPr>
      <w:r>
        <w:rPr>
          <w:rFonts w:hint="eastAsia" w:ascii="宋体" w:hAnsi="宋体" w:cs="宋体"/>
          <w:b/>
          <w:bCs/>
          <w:kern w:val="0"/>
          <w:sz w:val="24"/>
          <w:lang w:val="zh-CN"/>
        </w:rPr>
        <w:t>二、商务技术标（不能出现价格标）</w:t>
      </w:r>
    </w:p>
    <w:p>
      <w:pPr>
        <w:adjustRightInd w:val="0"/>
        <w:snapToGrid w:val="0"/>
        <w:spacing w:line="360" w:lineRule="auto"/>
        <w:ind w:firstLine="480" w:firstLineChars="200"/>
        <w:rPr>
          <w:rFonts w:ascii="宋体" w:hAnsi="宋体" w:cs="宋体"/>
          <w:bCs/>
          <w:kern w:val="0"/>
          <w:sz w:val="24"/>
          <w:lang w:val="zh-CN"/>
        </w:rPr>
      </w:pPr>
      <w:r>
        <w:rPr>
          <w:rFonts w:hint="eastAsia" w:ascii="宋体" w:hAnsi="宋体" w:cs="宋体"/>
          <w:bCs/>
          <w:kern w:val="0"/>
          <w:sz w:val="24"/>
          <w:lang w:val="zh-CN"/>
        </w:rPr>
        <w:t>1.投标人情况一览表（格式见附件6，若为联合体投标则双方均须提供）；</w:t>
      </w:r>
    </w:p>
    <w:p>
      <w:pPr>
        <w:adjustRightInd w:val="0"/>
        <w:snapToGrid w:val="0"/>
        <w:spacing w:line="360" w:lineRule="auto"/>
        <w:ind w:firstLine="480" w:firstLineChars="200"/>
        <w:rPr>
          <w:rFonts w:ascii="宋体" w:hAnsi="宋体" w:cs="宋体"/>
          <w:bCs/>
          <w:kern w:val="0"/>
          <w:sz w:val="24"/>
          <w:lang w:val="zh-CN"/>
        </w:rPr>
      </w:pPr>
      <w:r>
        <w:rPr>
          <w:rFonts w:hint="eastAsia" w:ascii="宋体" w:hAnsi="宋体" w:cs="宋体"/>
          <w:bCs/>
          <w:kern w:val="0"/>
          <w:sz w:val="24"/>
          <w:lang w:val="zh-CN"/>
        </w:rPr>
        <w:t>2.商务部分正负偏离表（格式见附件7，</w:t>
      </w:r>
      <w:r>
        <w:rPr>
          <w:rFonts w:hint="eastAsia" w:ascii="宋体" w:hAnsi="宋体" w:cs="宋体"/>
          <w:bCs/>
          <w:kern w:val="0"/>
          <w:sz w:val="24"/>
        </w:rPr>
        <w:t>若为联合体投标，由联合体牵头单位提供即可</w:t>
      </w:r>
      <w:r>
        <w:rPr>
          <w:rFonts w:hint="eastAsia" w:ascii="宋体" w:hAnsi="宋体" w:cs="宋体"/>
          <w:bCs/>
          <w:kern w:val="0"/>
          <w:sz w:val="24"/>
          <w:lang w:val="zh-CN"/>
        </w:rPr>
        <w:t>）；</w:t>
      </w:r>
    </w:p>
    <w:p>
      <w:pPr>
        <w:adjustRightInd w:val="0"/>
        <w:snapToGrid w:val="0"/>
        <w:spacing w:line="360" w:lineRule="auto"/>
        <w:ind w:firstLine="480" w:firstLineChars="200"/>
        <w:rPr>
          <w:rFonts w:ascii="宋体" w:hAnsi="宋体" w:cs="宋体"/>
          <w:bCs/>
          <w:kern w:val="0"/>
          <w:sz w:val="24"/>
          <w:lang w:val="zh-CN"/>
        </w:rPr>
      </w:pPr>
      <w:r>
        <w:rPr>
          <w:rFonts w:hint="eastAsia" w:ascii="宋体" w:hAnsi="宋体" w:cs="宋体"/>
          <w:bCs/>
          <w:kern w:val="0"/>
          <w:sz w:val="24"/>
          <w:lang w:val="zh-CN"/>
        </w:rPr>
        <w:t>3.技术部分正负偏离表（格式见附件8，</w:t>
      </w:r>
      <w:r>
        <w:rPr>
          <w:rFonts w:hint="eastAsia" w:ascii="宋体" w:hAnsi="宋体" w:cs="宋体"/>
          <w:bCs/>
          <w:kern w:val="0"/>
          <w:sz w:val="24"/>
        </w:rPr>
        <w:t>若为联合体投标，由联合体牵头单位提供即可</w:t>
      </w:r>
      <w:r>
        <w:rPr>
          <w:rFonts w:hint="eastAsia" w:ascii="宋体" w:hAnsi="宋体" w:cs="宋体"/>
          <w:bCs/>
          <w:kern w:val="0"/>
          <w:sz w:val="24"/>
          <w:lang w:val="zh-CN"/>
        </w:rPr>
        <w:t>）；</w:t>
      </w:r>
    </w:p>
    <w:p>
      <w:pPr>
        <w:adjustRightInd w:val="0"/>
        <w:snapToGrid w:val="0"/>
        <w:spacing w:line="360" w:lineRule="auto"/>
        <w:ind w:firstLine="480" w:firstLineChars="200"/>
        <w:rPr>
          <w:rFonts w:ascii="宋体" w:hAnsi="宋体" w:cs="宋体"/>
          <w:bCs/>
          <w:kern w:val="0"/>
          <w:sz w:val="24"/>
          <w:lang w:val="zh-CN"/>
        </w:rPr>
      </w:pPr>
      <w:r>
        <w:rPr>
          <w:rFonts w:hint="eastAsia" w:ascii="宋体" w:hAnsi="宋体" w:cs="宋体"/>
          <w:bCs/>
          <w:kern w:val="0"/>
          <w:sz w:val="24"/>
          <w:lang w:val="zh-CN"/>
        </w:rPr>
        <w:t>4.评标办法中涉及的商务技术标相关内容；</w:t>
      </w:r>
    </w:p>
    <w:p>
      <w:pPr>
        <w:adjustRightInd w:val="0"/>
        <w:snapToGrid w:val="0"/>
        <w:spacing w:line="360" w:lineRule="auto"/>
        <w:ind w:firstLine="480" w:firstLineChars="200"/>
        <w:rPr>
          <w:rFonts w:ascii="宋体" w:hAnsi="宋体" w:cs="宋体"/>
          <w:bCs/>
          <w:kern w:val="0"/>
          <w:sz w:val="24"/>
          <w:lang w:val="zh-CN"/>
        </w:rPr>
      </w:pPr>
      <w:r>
        <w:rPr>
          <w:rFonts w:hint="eastAsia" w:ascii="宋体" w:hAnsi="宋体" w:cs="宋体"/>
          <w:bCs/>
          <w:kern w:val="0"/>
          <w:sz w:val="24"/>
          <w:lang w:val="zh-CN"/>
        </w:rPr>
        <w:t>5.商务技术评分标准中须提供的相关得分佐证材料；</w:t>
      </w:r>
    </w:p>
    <w:p>
      <w:pPr>
        <w:adjustRightInd w:val="0"/>
        <w:snapToGrid w:val="0"/>
        <w:spacing w:line="360" w:lineRule="auto"/>
        <w:ind w:firstLine="480" w:firstLineChars="200"/>
        <w:rPr>
          <w:rFonts w:ascii="宋体" w:hAnsi="宋体" w:cs="宋体"/>
          <w:bCs/>
          <w:kern w:val="0"/>
          <w:sz w:val="24"/>
          <w:lang w:val="zh-CN"/>
        </w:rPr>
      </w:pPr>
      <w:r>
        <w:rPr>
          <w:rFonts w:hint="eastAsia" w:ascii="宋体" w:hAnsi="宋体" w:cs="宋体"/>
          <w:bCs/>
          <w:kern w:val="0"/>
          <w:sz w:val="24"/>
          <w:lang w:val="zh-CN"/>
        </w:rPr>
        <w:t>6.投标供应商认为需要提交的其他商务技术材料。</w:t>
      </w:r>
    </w:p>
    <w:p>
      <w:pPr>
        <w:adjustRightInd w:val="0"/>
        <w:snapToGrid w:val="0"/>
        <w:spacing w:line="360" w:lineRule="auto"/>
        <w:ind w:firstLine="482" w:firstLineChars="200"/>
        <w:rPr>
          <w:rFonts w:ascii="宋体" w:hAnsi="宋体" w:cs="宋体"/>
          <w:b/>
          <w:bCs/>
          <w:kern w:val="0"/>
          <w:sz w:val="24"/>
          <w:lang w:val="zh-CN"/>
        </w:rPr>
      </w:pPr>
      <w:r>
        <w:rPr>
          <w:rFonts w:hint="eastAsia" w:ascii="宋体" w:hAnsi="宋体" w:cs="宋体"/>
          <w:b/>
          <w:bCs/>
          <w:kern w:val="0"/>
          <w:sz w:val="24"/>
          <w:lang w:val="zh-CN"/>
        </w:rPr>
        <w:t>三、价格标</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1.开标一览表（格式见附件9，</w:t>
      </w:r>
      <w:r>
        <w:rPr>
          <w:rFonts w:hint="eastAsia" w:ascii="宋体" w:hAnsi="宋体" w:cs="宋体"/>
          <w:bCs/>
          <w:kern w:val="0"/>
          <w:sz w:val="24"/>
        </w:rPr>
        <w:t>若为联合体投标，双方均须加盖公章</w:t>
      </w:r>
      <w:r>
        <w:rPr>
          <w:rFonts w:hint="eastAsia" w:ascii="宋体" w:hAnsi="宋体" w:cs="宋体"/>
          <w:kern w:val="0"/>
          <w:sz w:val="24"/>
          <w:lang w:val="zh-CN"/>
        </w:rPr>
        <w:t>）；</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2.分项报价明细表（格式见附件10，</w:t>
      </w:r>
      <w:r>
        <w:rPr>
          <w:rFonts w:hint="eastAsia" w:ascii="宋体" w:hAnsi="宋体" w:cs="宋体"/>
          <w:bCs/>
          <w:kern w:val="0"/>
          <w:sz w:val="24"/>
        </w:rPr>
        <w:t>若为联合体投标，双方均须加盖公章</w:t>
      </w:r>
      <w:r>
        <w:rPr>
          <w:rFonts w:hint="eastAsia" w:ascii="宋体" w:hAnsi="宋体" w:cs="宋体"/>
          <w:kern w:val="0"/>
          <w:sz w:val="24"/>
          <w:lang w:val="zh-CN"/>
        </w:rPr>
        <w:t>）；</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3.</w:t>
      </w:r>
      <w:r>
        <w:rPr>
          <w:rFonts w:ascii="宋体" w:hAnsi="宋体"/>
          <w:sz w:val="18"/>
          <w:szCs w:val="18"/>
        </w:rPr>
        <w:t xml:space="preserve"> </w:t>
      </w:r>
      <w:r>
        <w:rPr>
          <w:rFonts w:ascii="宋体" w:hAnsi="宋体" w:cs="宋体"/>
          <w:kern w:val="0"/>
          <w:sz w:val="24"/>
        </w:rPr>
        <w:t>中小企业声明函</w:t>
      </w:r>
      <w:r>
        <w:rPr>
          <w:rFonts w:hint="eastAsia" w:ascii="宋体" w:hAnsi="宋体" w:cs="宋体"/>
          <w:kern w:val="0"/>
          <w:sz w:val="24"/>
        </w:rPr>
        <w:t>（如有）（格式见附件11，</w:t>
      </w:r>
      <w:r>
        <w:rPr>
          <w:rFonts w:hint="eastAsia" w:ascii="宋体" w:hAnsi="宋体" w:cs="宋体"/>
          <w:bCs/>
          <w:kern w:val="0"/>
          <w:sz w:val="24"/>
        </w:rPr>
        <w:t>若为联合体投标，双方均需提供</w:t>
      </w:r>
      <w:r>
        <w:rPr>
          <w:rFonts w:hint="eastAsia" w:ascii="宋体" w:hAnsi="宋体" w:cs="宋体"/>
          <w:kern w:val="0"/>
          <w:sz w:val="24"/>
        </w:rPr>
        <w:t>）；</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lang w:val="zh-CN"/>
        </w:rPr>
        <w:t>4.</w:t>
      </w:r>
      <w:r>
        <w:rPr>
          <w:rFonts w:hint="eastAsia" w:ascii="宋体" w:hAnsi="宋体" w:cs="宋体"/>
          <w:kern w:val="0"/>
          <w:sz w:val="24"/>
        </w:rPr>
        <w:t>残疾人福利性单位声明函（如有）（格式见附件12，</w:t>
      </w:r>
      <w:r>
        <w:rPr>
          <w:rFonts w:hint="eastAsia" w:ascii="宋体" w:hAnsi="宋体" w:cs="宋体"/>
          <w:bCs/>
          <w:kern w:val="0"/>
          <w:sz w:val="24"/>
        </w:rPr>
        <w:t>若为联合体投标，双方均需提供</w:t>
      </w:r>
      <w:r>
        <w:rPr>
          <w:rFonts w:hint="eastAsia" w:ascii="宋体" w:hAnsi="宋体" w:cs="宋体"/>
          <w:kern w:val="0"/>
          <w:sz w:val="24"/>
        </w:rPr>
        <w:t>）；</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rPr>
        <w:t>5.</w:t>
      </w:r>
      <w:r>
        <w:rPr>
          <w:rFonts w:hint="eastAsia" w:ascii="宋体" w:hAnsi="宋体" w:cs="宋体"/>
          <w:bCs/>
          <w:kern w:val="0"/>
          <w:sz w:val="24"/>
        </w:rPr>
        <w:t>监狱和戒毒企业证明材料</w:t>
      </w:r>
      <w:r>
        <w:rPr>
          <w:rFonts w:hint="eastAsia" w:ascii="宋体" w:hAnsi="宋体" w:cs="宋体"/>
          <w:kern w:val="0"/>
          <w:sz w:val="24"/>
        </w:rPr>
        <w:t>（如有）</w:t>
      </w:r>
      <w:r>
        <w:rPr>
          <w:rFonts w:hint="eastAsia" w:ascii="宋体" w:hAnsi="宋体" w:cs="宋体"/>
          <w:bCs/>
          <w:kern w:val="0"/>
          <w:sz w:val="24"/>
        </w:rPr>
        <w:t>（格式见附件13，若为联合体投标，双方均需提供）。</w:t>
      </w:r>
    </w:p>
    <w:p>
      <w:pPr>
        <w:adjustRightInd w:val="0"/>
        <w:snapToGrid w:val="0"/>
        <w:spacing w:line="360" w:lineRule="auto"/>
        <w:ind w:firstLine="482" w:firstLineChars="200"/>
        <w:rPr>
          <w:rFonts w:ascii="宋体" w:hAnsi="宋体" w:cs="宋体"/>
          <w:b/>
          <w:bCs/>
          <w:kern w:val="0"/>
          <w:sz w:val="24"/>
        </w:rPr>
      </w:pPr>
      <w:r>
        <w:rPr>
          <w:rFonts w:hint="eastAsia" w:ascii="宋体" w:hAnsi="宋体" w:cs="宋体"/>
          <w:b/>
          <w:bCs/>
          <w:kern w:val="0"/>
          <w:sz w:val="24"/>
        </w:rPr>
        <w:t>备注：</w:t>
      </w:r>
    </w:p>
    <w:p>
      <w:pPr>
        <w:adjustRightInd w:val="0"/>
        <w:snapToGrid w:val="0"/>
        <w:spacing w:line="360" w:lineRule="auto"/>
        <w:ind w:firstLine="482" w:firstLineChars="200"/>
        <w:rPr>
          <w:rFonts w:ascii="宋体" w:hAnsi="宋体" w:cs="宋体"/>
          <w:b/>
          <w:bCs/>
          <w:kern w:val="0"/>
          <w:sz w:val="24"/>
        </w:rPr>
      </w:pPr>
      <w:r>
        <w:rPr>
          <w:rFonts w:hint="eastAsia" w:ascii="宋体" w:hAnsi="宋体" w:cs="宋体"/>
          <w:b/>
          <w:bCs/>
          <w:kern w:val="0"/>
          <w:sz w:val="24"/>
        </w:rPr>
        <w:t>1.除特别说明外，投标材料由联合体牵头单位签字或签章、盖章即可。</w:t>
      </w:r>
    </w:p>
    <w:p>
      <w:pPr>
        <w:adjustRightInd w:val="0"/>
        <w:snapToGrid w:val="0"/>
        <w:spacing w:line="360" w:lineRule="auto"/>
        <w:ind w:firstLine="482" w:firstLineChars="200"/>
        <w:rPr>
          <w:rFonts w:ascii="宋体" w:hAnsi="宋体" w:cs="宋体"/>
          <w:kern w:val="0"/>
          <w:sz w:val="32"/>
          <w:szCs w:val="32"/>
          <w:lang w:val="zh-CN"/>
        </w:rPr>
      </w:pPr>
      <w:r>
        <w:rPr>
          <w:rFonts w:hint="eastAsia" w:ascii="宋体" w:hAnsi="宋体" w:cs="宋体"/>
          <w:b/>
          <w:bCs/>
          <w:kern w:val="0"/>
          <w:sz w:val="24"/>
        </w:rPr>
        <w:t>2.除特别说明外，投标材料由联合体牵头单位提供即可。</w:t>
      </w: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200"/>
        <w:rPr>
          <w:rFonts w:ascii="宋体" w:hAnsi="宋体" w:cs="宋体"/>
          <w:kern w:val="0"/>
          <w:sz w:val="32"/>
          <w:szCs w:val="32"/>
          <w:lang w:val="zh-CN"/>
        </w:rPr>
      </w:pPr>
    </w:p>
    <w:p>
      <w:pPr>
        <w:pStyle w:val="19"/>
        <w:adjustRightInd w:val="0"/>
        <w:snapToGrid w:val="0"/>
        <w:spacing w:line="360" w:lineRule="auto"/>
        <w:ind w:firstLine="200"/>
        <w:rPr>
          <w:lang w:val="zh-CN"/>
        </w:rPr>
      </w:pPr>
    </w:p>
    <w:p>
      <w:pPr>
        <w:widowControl/>
        <w:adjustRightInd w:val="0"/>
        <w:snapToGrid w:val="0"/>
        <w:spacing w:line="360" w:lineRule="auto"/>
        <w:ind w:firstLine="200"/>
        <w:jc w:val="left"/>
        <w:rPr>
          <w:rFonts w:ascii="宋体" w:hAnsi="宋体" w:cs="宋体"/>
          <w:kern w:val="0"/>
          <w:sz w:val="32"/>
          <w:szCs w:val="32"/>
          <w:lang w:val="zh-CN"/>
        </w:rPr>
      </w:pPr>
      <w:r>
        <w:rPr>
          <w:rFonts w:ascii="宋体" w:hAnsi="宋体" w:cs="宋体"/>
          <w:kern w:val="0"/>
          <w:sz w:val="32"/>
          <w:szCs w:val="32"/>
          <w:lang w:val="zh-CN"/>
        </w:rPr>
        <w:br w:type="page"/>
      </w:r>
    </w:p>
    <w:p>
      <w:pPr>
        <w:adjustRightInd w:val="0"/>
        <w:snapToGrid w:val="0"/>
        <w:spacing w:line="360" w:lineRule="auto"/>
        <w:ind w:firstLine="200"/>
        <w:rPr>
          <w:rFonts w:ascii="宋体" w:hAnsi="宋体" w:cs="宋体"/>
          <w:kern w:val="0"/>
          <w:sz w:val="32"/>
          <w:szCs w:val="32"/>
          <w:lang w:val="zh-CN"/>
        </w:rPr>
      </w:pPr>
      <w:r>
        <w:rPr>
          <w:rFonts w:hint="eastAsia" w:ascii="宋体" w:hAnsi="宋体" w:cs="宋体"/>
          <w:kern w:val="0"/>
          <w:sz w:val="32"/>
          <w:szCs w:val="32"/>
          <w:lang w:val="zh-CN"/>
        </w:rPr>
        <w:t>附件1</w:t>
      </w:r>
    </w:p>
    <w:p>
      <w:pPr>
        <w:adjustRightInd w:val="0"/>
        <w:snapToGrid w:val="0"/>
        <w:spacing w:line="360" w:lineRule="auto"/>
        <w:ind w:firstLine="200"/>
        <w:jc w:val="center"/>
        <w:rPr>
          <w:rFonts w:ascii="宋体" w:hAnsi="宋体" w:cs="宋体"/>
          <w:b/>
          <w:sz w:val="30"/>
          <w:szCs w:val="30"/>
        </w:rPr>
      </w:pPr>
      <w:r>
        <w:rPr>
          <w:rFonts w:hint="eastAsia" w:ascii="宋体" w:hAnsi="宋体"/>
          <w:b/>
          <w:sz w:val="30"/>
          <w:szCs w:val="30"/>
        </w:rPr>
        <w:t>投标供应商声明函</w:t>
      </w:r>
    </w:p>
    <w:p>
      <w:pPr>
        <w:adjustRightInd w:val="0"/>
        <w:snapToGrid w:val="0"/>
        <w:spacing w:line="360" w:lineRule="auto"/>
        <w:ind w:firstLine="480" w:firstLineChars="200"/>
        <w:jc w:val="left"/>
        <w:rPr>
          <w:rFonts w:ascii="宋体" w:hAnsi="宋体" w:cs="宋体"/>
          <w:b/>
          <w:sz w:val="30"/>
          <w:szCs w:val="30"/>
        </w:rPr>
      </w:pPr>
      <w:r>
        <w:rPr>
          <w:rFonts w:hint="eastAsia" w:ascii="宋体" w:hAnsi="宋体"/>
          <w:bCs/>
          <w:sz w:val="24"/>
        </w:rPr>
        <w:t>我单位参加</w:t>
      </w:r>
      <w:r>
        <w:rPr>
          <w:rFonts w:hint="eastAsia" w:ascii="宋体" w:hAnsi="宋体"/>
          <w:bCs/>
          <w:sz w:val="24"/>
          <w:szCs w:val="21"/>
          <w:u w:val="single"/>
        </w:rPr>
        <w:t xml:space="preserve">            </w:t>
      </w:r>
      <w:r>
        <w:rPr>
          <w:rFonts w:hint="eastAsia" w:ascii="宋体" w:hAnsi="宋体"/>
          <w:bCs/>
          <w:sz w:val="24"/>
          <w:szCs w:val="21"/>
        </w:rPr>
        <w:t>（项目名称）投标活动。</w:t>
      </w:r>
      <w:r>
        <w:rPr>
          <w:rFonts w:hint="eastAsia" w:ascii="宋体" w:hAnsi="宋体"/>
          <w:bCs/>
          <w:sz w:val="24"/>
        </w:rPr>
        <w:t>我单位</w:t>
      </w:r>
      <w:r>
        <w:rPr>
          <w:rFonts w:hint="eastAsia" w:ascii="宋体" w:hAnsi="宋体"/>
          <w:bCs/>
          <w:sz w:val="24"/>
          <w:szCs w:val="21"/>
        </w:rPr>
        <w:t>声明如下：</w:t>
      </w:r>
    </w:p>
    <w:p>
      <w:pPr>
        <w:adjustRightInd w:val="0"/>
        <w:snapToGrid w:val="0"/>
        <w:spacing w:line="360" w:lineRule="auto"/>
        <w:ind w:firstLine="480" w:firstLineChars="200"/>
        <w:rPr>
          <w:rFonts w:ascii="宋体" w:hAnsi="宋体"/>
          <w:sz w:val="24"/>
        </w:rPr>
      </w:pPr>
      <w:r>
        <w:rPr>
          <w:rFonts w:hint="eastAsia" w:ascii="宋体" w:hAnsi="宋体"/>
          <w:bCs/>
          <w:sz w:val="24"/>
          <w:szCs w:val="21"/>
        </w:rPr>
        <w:t>1.我单位具有独立承担民事责任的能力；</w:t>
      </w:r>
    </w:p>
    <w:p>
      <w:pPr>
        <w:adjustRightInd w:val="0"/>
        <w:snapToGrid w:val="0"/>
        <w:spacing w:line="360" w:lineRule="auto"/>
        <w:ind w:firstLine="480" w:firstLineChars="200"/>
        <w:rPr>
          <w:rFonts w:ascii="宋体" w:hAnsi="宋体"/>
          <w:sz w:val="24"/>
        </w:rPr>
      </w:pPr>
      <w:r>
        <w:rPr>
          <w:rFonts w:hint="eastAsia" w:ascii="宋体" w:hAnsi="宋体"/>
          <w:sz w:val="24"/>
        </w:rPr>
        <w:t>2.我单位具有良好的商业信誉和健全的财务会计制度；</w:t>
      </w:r>
    </w:p>
    <w:p>
      <w:pPr>
        <w:adjustRightInd w:val="0"/>
        <w:snapToGrid w:val="0"/>
        <w:spacing w:line="360" w:lineRule="auto"/>
        <w:ind w:firstLine="480" w:firstLineChars="200"/>
        <w:rPr>
          <w:rFonts w:ascii="宋体" w:hAnsi="宋体"/>
          <w:sz w:val="24"/>
        </w:rPr>
      </w:pPr>
      <w:r>
        <w:rPr>
          <w:rFonts w:hint="eastAsia" w:ascii="宋体" w:hAnsi="宋体"/>
          <w:sz w:val="24"/>
        </w:rPr>
        <w:t>3.我单位具有履行合同所必需的设备和专业技术能力；</w:t>
      </w:r>
    </w:p>
    <w:p>
      <w:pPr>
        <w:adjustRightInd w:val="0"/>
        <w:snapToGrid w:val="0"/>
        <w:spacing w:line="360" w:lineRule="auto"/>
        <w:ind w:firstLine="480" w:firstLineChars="200"/>
        <w:rPr>
          <w:rFonts w:ascii="宋体" w:hAnsi="宋体"/>
          <w:sz w:val="24"/>
        </w:rPr>
      </w:pPr>
      <w:r>
        <w:rPr>
          <w:rFonts w:hint="eastAsia" w:ascii="宋体" w:hAnsi="宋体"/>
          <w:sz w:val="24"/>
        </w:rPr>
        <w:t>4.我单位有依法缴纳税收和社会保障资金的良好记录；</w:t>
      </w:r>
    </w:p>
    <w:p>
      <w:pPr>
        <w:adjustRightInd w:val="0"/>
        <w:snapToGrid w:val="0"/>
        <w:spacing w:line="360" w:lineRule="auto"/>
        <w:ind w:firstLine="480" w:firstLineChars="200"/>
        <w:rPr>
          <w:rFonts w:ascii="宋体" w:hAnsi="宋体"/>
          <w:sz w:val="24"/>
        </w:rPr>
      </w:pPr>
      <w:r>
        <w:rPr>
          <w:rFonts w:hint="eastAsia" w:ascii="宋体" w:hAnsi="宋体"/>
          <w:sz w:val="24"/>
        </w:rPr>
        <w:t>5.我单位参加采购活动前三年内，在经营活动中没有重大违法记录；</w:t>
      </w:r>
    </w:p>
    <w:p>
      <w:pPr>
        <w:adjustRightInd w:val="0"/>
        <w:snapToGrid w:val="0"/>
        <w:spacing w:line="360" w:lineRule="auto"/>
        <w:ind w:firstLine="480" w:firstLineChars="200"/>
        <w:rPr>
          <w:rFonts w:ascii="宋体" w:hAnsi="宋体" w:cs="宋体"/>
          <w:sz w:val="24"/>
        </w:rPr>
      </w:pPr>
      <w:r>
        <w:rPr>
          <w:rFonts w:hint="eastAsia" w:ascii="宋体" w:hAnsi="宋体"/>
          <w:sz w:val="24"/>
        </w:rPr>
        <w:t>6.我单位满足法律、行政法规规定的其他条件。</w:t>
      </w:r>
    </w:p>
    <w:p>
      <w:pPr>
        <w:adjustRightInd w:val="0"/>
        <w:snapToGrid w:val="0"/>
        <w:spacing w:line="360" w:lineRule="auto"/>
        <w:ind w:firstLine="200"/>
        <w:rPr>
          <w:rFonts w:ascii="宋体" w:hAnsi="宋体" w:cs="宋体"/>
          <w:sz w:val="24"/>
        </w:rPr>
      </w:pPr>
    </w:p>
    <w:p>
      <w:pPr>
        <w:adjustRightInd w:val="0"/>
        <w:snapToGrid w:val="0"/>
        <w:spacing w:line="360" w:lineRule="auto"/>
        <w:ind w:firstLine="200"/>
        <w:rPr>
          <w:rFonts w:ascii="宋体" w:hAnsi="宋体" w:cs="宋体"/>
          <w:sz w:val="24"/>
        </w:rPr>
      </w:pPr>
    </w:p>
    <w:p>
      <w:pPr>
        <w:adjustRightInd w:val="0"/>
        <w:snapToGrid w:val="0"/>
        <w:spacing w:line="360" w:lineRule="auto"/>
        <w:ind w:firstLine="200"/>
        <w:rPr>
          <w:rFonts w:ascii="宋体" w:hAnsi="宋体" w:cs="宋体"/>
          <w:bCs/>
          <w:sz w:val="24"/>
          <w:szCs w:val="21"/>
        </w:rPr>
      </w:pPr>
    </w:p>
    <w:p>
      <w:pPr>
        <w:adjustRightInd w:val="0"/>
        <w:snapToGrid w:val="0"/>
        <w:spacing w:line="360" w:lineRule="auto"/>
        <w:ind w:firstLine="200"/>
        <w:rPr>
          <w:rFonts w:ascii="宋体" w:hAnsi="宋体" w:cs="宋体"/>
          <w:bCs/>
          <w:sz w:val="24"/>
          <w:szCs w:val="21"/>
        </w:rPr>
      </w:pPr>
    </w:p>
    <w:p>
      <w:pPr>
        <w:adjustRightInd w:val="0"/>
        <w:snapToGrid w:val="0"/>
        <w:spacing w:line="360" w:lineRule="auto"/>
        <w:ind w:firstLine="200"/>
        <w:rPr>
          <w:rFonts w:ascii="宋体" w:hAnsi="宋体" w:cs="宋体"/>
          <w:bCs/>
          <w:sz w:val="24"/>
          <w:szCs w:val="21"/>
        </w:rPr>
      </w:pPr>
    </w:p>
    <w:p>
      <w:pPr>
        <w:adjustRightInd w:val="0"/>
        <w:snapToGrid w:val="0"/>
        <w:spacing w:line="360" w:lineRule="auto"/>
        <w:ind w:firstLine="200"/>
        <w:jc w:val="center"/>
        <w:rPr>
          <w:rFonts w:ascii="宋体" w:hAnsi="宋体" w:cs="宋体"/>
          <w:bCs/>
          <w:sz w:val="24"/>
          <w:szCs w:val="21"/>
        </w:rPr>
      </w:pPr>
      <w:r>
        <w:rPr>
          <w:rFonts w:hint="eastAsia" w:ascii="宋体" w:hAnsi="宋体" w:cs="宋体"/>
          <w:bCs/>
          <w:sz w:val="24"/>
          <w:szCs w:val="21"/>
        </w:rPr>
        <w:t xml:space="preserve">                                   承诺人名称（公章）：</w:t>
      </w:r>
    </w:p>
    <w:p>
      <w:pPr>
        <w:adjustRightInd w:val="0"/>
        <w:snapToGrid w:val="0"/>
        <w:spacing w:line="360" w:lineRule="auto"/>
        <w:ind w:firstLine="200"/>
        <w:jc w:val="right"/>
        <w:rPr>
          <w:rFonts w:ascii="宋体" w:hAnsi="宋体" w:cs="宋体"/>
          <w:bCs/>
          <w:sz w:val="24"/>
          <w:szCs w:val="21"/>
        </w:rPr>
      </w:pPr>
      <w:r>
        <w:rPr>
          <w:rFonts w:hint="eastAsia" w:ascii="宋体" w:hAnsi="宋体" w:cs="宋体"/>
          <w:bCs/>
          <w:sz w:val="24"/>
          <w:szCs w:val="21"/>
        </w:rPr>
        <w:t xml:space="preserve">    </w:t>
      </w:r>
    </w:p>
    <w:p>
      <w:pPr>
        <w:adjustRightInd w:val="0"/>
        <w:snapToGrid w:val="0"/>
        <w:spacing w:line="360" w:lineRule="auto"/>
        <w:ind w:firstLine="200"/>
        <w:jc w:val="right"/>
        <w:rPr>
          <w:rFonts w:ascii="宋体" w:hAnsi="宋体" w:cs="宋体"/>
          <w:bCs/>
          <w:sz w:val="24"/>
          <w:szCs w:val="21"/>
        </w:rPr>
      </w:pPr>
      <w:r>
        <w:rPr>
          <w:rFonts w:hint="eastAsia" w:ascii="宋体" w:hAnsi="宋体" w:cs="宋体"/>
          <w:bCs/>
          <w:sz w:val="24"/>
          <w:szCs w:val="21"/>
        </w:rPr>
        <w:t xml:space="preserve">                                 日期：</w:t>
      </w:r>
      <w:r>
        <w:rPr>
          <w:rFonts w:hint="eastAsia" w:ascii="宋体" w:hAnsi="宋体" w:cs="宋体"/>
          <w:bCs/>
          <w:sz w:val="24"/>
          <w:szCs w:val="21"/>
          <w:u w:val="single"/>
        </w:rPr>
        <w:t>______</w:t>
      </w:r>
      <w:r>
        <w:rPr>
          <w:rFonts w:hint="eastAsia" w:ascii="宋体" w:hAnsi="宋体" w:cs="宋体"/>
          <w:bCs/>
          <w:sz w:val="24"/>
          <w:szCs w:val="21"/>
        </w:rPr>
        <w:t>年</w:t>
      </w:r>
      <w:r>
        <w:rPr>
          <w:rFonts w:hint="eastAsia" w:ascii="宋体" w:hAnsi="宋体" w:cs="宋体"/>
          <w:bCs/>
          <w:sz w:val="24"/>
          <w:szCs w:val="21"/>
          <w:u w:val="single"/>
        </w:rPr>
        <w:t xml:space="preserve">    </w:t>
      </w:r>
      <w:r>
        <w:rPr>
          <w:rFonts w:hint="eastAsia" w:ascii="宋体" w:hAnsi="宋体" w:cs="宋体"/>
          <w:bCs/>
          <w:sz w:val="24"/>
          <w:szCs w:val="21"/>
        </w:rPr>
        <w:t>月</w:t>
      </w:r>
      <w:r>
        <w:rPr>
          <w:rFonts w:hint="eastAsia" w:ascii="宋体" w:hAnsi="宋体" w:cs="宋体"/>
          <w:bCs/>
          <w:sz w:val="24"/>
          <w:szCs w:val="21"/>
          <w:u w:val="single"/>
        </w:rPr>
        <w:t xml:space="preserve">    </w:t>
      </w:r>
      <w:r>
        <w:rPr>
          <w:rFonts w:hint="eastAsia" w:ascii="宋体" w:hAnsi="宋体" w:cs="宋体"/>
          <w:bCs/>
          <w:sz w:val="24"/>
          <w:szCs w:val="21"/>
        </w:rPr>
        <w:t>日</w:t>
      </w:r>
    </w:p>
    <w:p>
      <w:pPr>
        <w:adjustRightInd w:val="0"/>
        <w:snapToGrid w:val="0"/>
        <w:spacing w:line="360" w:lineRule="auto"/>
        <w:ind w:firstLine="200"/>
        <w:rPr>
          <w:rFonts w:ascii="宋体" w:hAnsi="宋体" w:cs="宋体"/>
          <w:szCs w:val="21"/>
        </w:rPr>
      </w:pPr>
    </w:p>
    <w:p>
      <w:pPr>
        <w:pStyle w:val="19"/>
        <w:adjustRightInd w:val="0"/>
        <w:snapToGrid w:val="0"/>
        <w:spacing w:line="360" w:lineRule="auto"/>
        <w:ind w:firstLine="200"/>
      </w:pPr>
    </w:p>
    <w:p>
      <w:pPr>
        <w:widowControl/>
        <w:adjustRightInd w:val="0"/>
        <w:snapToGrid w:val="0"/>
        <w:spacing w:line="360" w:lineRule="auto"/>
        <w:ind w:firstLine="200"/>
        <w:jc w:val="left"/>
        <w:rPr>
          <w:rFonts w:ascii="宋体" w:hAnsi="宋体" w:cs="宋体"/>
          <w:kern w:val="0"/>
          <w:sz w:val="32"/>
          <w:szCs w:val="32"/>
          <w:lang w:val="zh-CN"/>
        </w:rPr>
      </w:pPr>
      <w:r>
        <w:rPr>
          <w:rFonts w:ascii="宋体" w:hAnsi="宋体" w:cs="宋体"/>
          <w:kern w:val="0"/>
          <w:sz w:val="32"/>
          <w:szCs w:val="32"/>
          <w:lang w:val="zh-CN"/>
        </w:rPr>
        <w:br w:type="page"/>
      </w:r>
    </w:p>
    <w:p>
      <w:pPr>
        <w:adjustRightInd w:val="0"/>
        <w:snapToGrid w:val="0"/>
        <w:spacing w:line="360" w:lineRule="auto"/>
        <w:ind w:firstLine="200"/>
        <w:rPr>
          <w:rFonts w:ascii="宋体" w:hAnsi="宋体" w:cs="宋体"/>
          <w:kern w:val="0"/>
          <w:sz w:val="32"/>
          <w:szCs w:val="32"/>
          <w:lang w:val="zh-CN"/>
        </w:rPr>
      </w:pPr>
      <w:r>
        <w:rPr>
          <w:rFonts w:hint="eastAsia" w:ascii="宋体" w:hAnsi="宋体" w:cs="宋体"/>
          <w:kern w:val="0"/>
          <w:sz w:val="32"/>
          <w:szCs w:val="32"/>
          <w:lang w:val="zh-CN"/>
        </w:rPr>
        <w:t>附件2</w:t>
      </w:r>
    </w:p>
    <w:p>
      <w:pPr>
        <w:pStyle w:val="148"/>
        <w:adjustRightInd w:val="0"/>
        <w:snapToGrid w:val="0"/>
        <w:spacing w:line="360" w:lineRule="auto"/>
        <w:ind w:firstLine="200"/>
        <w:jc w:val="center"/>
        <w:rPr>
          <w:rFonts w:ascii="宋体" w:hAnsi="宋体" w:cs="宋体"/>
          <w:b/>
          <w:bCs/>
          <w:sz w:val="30"/>
          <w:szCs w:val="30"/>
        </w:rPr>
      </w:pPr>
      <w:r>
        <w:rPr>
          <w:rFonts w:hint="eastAsia" w:ascii="宋体" w:hAnsi="宋体" w:cs="宋体"/>
          <w:b/>
          <w:bCs/>
          <w:sz w:val="30"/>
          <w:szCs w:val="30"/>
        </w:rPr>
        <w:t>法定代表人身份证明</w:t>
      </w:r>
    </w:p>
    <w:p>
      <w:pPr>
        <w:adjustRightInd w:val="0"/>
        <w:snapToGrid w:val="0"/>
        <w:spacing w:line="360" w:lineRule="auto"/>
        <w:ind w:firstLine="200"/>
        <w:rPr>
          <w:rFonts w:ascii="宋体" w:hAnsi="宋体" w:cs="宋体"/>
          <w:sz w:val="24"/>
        </w:rPr>
      </w:pPr>
    </w:p>
    <w:p>
      <w:pPr>
        <w:adjustRightInd w:val="0"/>
        <w:snapToGrid w:val="0"/>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hint="eastAsia" w:ascii="宋体" w:hAnsi="宋体" w:cs="宋体"/>
          <w:sz w:val="24"/>
        </w:rPr>
        <w:t>先生/女士： 现任我单位</w:t>
      </w:r>
      <w:r>
        <w:rPr>
          <w:rFonts w:hint="eastAsia" w:ascii="宋体" w:hAnsi="宋体" w:cs="宋体"/>
          <w:sz w:val="24"/>
          <w:u w:val="single"/>
        </w:rPr>
        <w:t xml:space="preserve">        </w:t>
      </w:r>
      <w:r>
        <w:rPr>
          <w:rFonts w:hint="eastAsia" w:ascii="宋体" w:hAnsi="宋体" w:cs="宋体"/>
          <w:sz w:val="24"/>
        </w:rPr>
        <w:t>职务，为法定代表人，特此证明。</w:t>
      </w:r>
    </w:p>
    <w:p>
      <w:pPr>
        <w:adjustRightInd w:val="0"/>
        <w:snapToGrid w:val="0"/>
        <w:spacing w:line="360" w:lineRule="auto"/>
        <w:ind w:firstLine="480" w:firstLineChars="200"/>
        <w:rPr>
          <w:rFonts w:ascii="宋体" w:hAnsi="宋体" w:cs="宋体"/>
          <w:sz w:val="24"/>
          <w:u w:val="single"/>
        </w:rPr>
      </w:pPr>
      <w:r>
        <w:rPr>
          <w:rFonts w:hint="eastAsia" w:ascii="宋体" w:hAnsi="宋体" w:cs="宋体"/>
          <w:sz w:val="24"/>
        </w:rPr>
        <w:t>身份证号码：</w:t>
      </w:r>
      <w:r>
        <w:rPr>
          <w:rFonts w:hint="eastAsia" w:ascii="宋体" w:hAnsi="宋体" w:cs="宋体"/>
          <w:sz w:val="24"/>
          <w:u w:val="single"/>
        </w:rPr>
        <w:t xml:space="preserve">                                               </w:t>
      </w:r>
    </w:p>
    <w:p>
      <w:pPr>
        <w:adjustRightInd w:val="0"/>
        <w:snapToGrid w:val="0"/>
        <w:spacing w:line="360" w:lineRule="auto"/>
        <w:ind w:firstLine="480" w:firstLineChars="200"/>
        <w:rPr>
          <w:rFonts w:ascii="宋体" w:hAnsi="宋体" w:cs="宋体"/>
          <w:sz w:val="24"/>
        </w:rPr>
      </w:pPr>
    </w:p>
    <w:p>
      <w:pPr>
        <w:pStyle w:val="147"/>
        <w:adjustRightInd w:val="0"/>
        <w:snapToGrid w:val="0"/>
        <w:spacing w:line="360" w:lineRule="auto"/>
        <w:ind w:firstLine="482" w:firstLineChars="200"/>
        <w:rPr>
          <w:rFonts w:ascii="宋体" w:hAnsi="宋体" w:cs="宋体"/>
          <w:b/>
          <w:sz w:val="24"/>
        </w:rPr>
      </w:pPr>
      <w:r>
        <w:rPr>
          <w:rFonts w:hint="eastAsia" w:ascii="宋体" w:hAnsi="宋体" w:cs="宋体"/>
          <w:b/>
          <w:sz w:val="24"/>
        </w:rPr>
        <w:t>注：提供法定代表人的身份证复印件盖公章</w:t>
      </w:r>
    </w:p>
    <w:p>
      <w:pPr>
        <w:adjustRightInd w:val="0"/>
        <w:snapToGrid w:val="0"/>
        <w:spacing w:line="360" w:lineRule="auto"/>
        <w:ind w:firstLine="480" w:firstLineChars="200"/>
        <w:rPr>
          <w:rFonts w:ascii="宋体" w:hAnsi="宋体" w:cs="宋体"/>
          <w:sz w:val="24"/>
        </w:rPr>
      </w:pPr>
    </w:p>
    <w:p>
      <w:pPr>
        <w:adjustRightInd w:val="0"/>
        <w:snapToGrid w:val="0"/>
        <w:spacing w:line="360" w:lineRule="auto"/>
        <w:ind w:firstLine="200"/>
        <w:rPr>
          <w:rFonts w:ascii="宋体" w:hAnsi="宋体" w:cs="宋体"/>
        </w:rPr>
      </w:pPr>
      <w:r>
        <w:rPr>
          <w:rFonts w:hint="eastAsia" w:ascii="宋体" w:hAnsi="宋体" w:cs="宋体"/>
        </w:rPr>
        <w:t xml:space="preserve">     </w:t>
      </w:r>
    </w:p>
    <w:p>
      <w:pPr>
        <w:adjustRightInd w:val="0"/>
        <w:snapToGrid w:val="0"/>
        <w:spacing w:line="360" w:lineRule="auto"/>
        <w:ind w:firstLine="540" w:firstLineChars="192"/>
        <w:rPr>
          <w:rFonts w:ascii="宋体" w:hAnsi="宋体" w:cs="宋体"/>
          <w:b/>
          <w:kern w:val="0"/>
          <w:sz w:val="28"/>
          <w:szCs w:val="28"/>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adjustRightInd w:val="0"/>
        <w:snapToGrid w:val="0"/>
        <w:spacing w:line="360" w:lineRule="auto"/>
        <w:ind w:firstLine="540" w:firstLineChars="192"/>
        <w:rPr>
          <w:rFonts w:ascii="宋体" w:hAnsi="宋体" w:cs="宋体"/>
          <w:b/>
          <w:kern w:val="0"/>
          <w:sz w:val="28"/>
          <w:szCs w:val="28"/>
          <w:lang w:val="zh-CN"/>
        </w:rPr>
      </w:pPr>
    </w:p>
    <w:p>
      <w:pPr>
        <w:widowControl/>
        <w:adjustRightInd w:val="0"/>
        <w:snapToGrid w:val="0"/>
        <w:spacing w:line="360" w:lineRule="auto"/>
        <w:ind w:firstLine="200"/>
        <w:jc w:val="left"/>
        <w:rPr>
          <w:rFonts w:ascii="宋体" w:hAnsi="宋体" w:cs="宋体"/>
          <w:kern w:val="0"/>
          <w:sz w:val="32"/>
          <w:szCs w:val="32"/>
          <w:lang w:val="zh-CN"/>
        </w:rPr>
      </w:pPr>
      <w:r>
        <w:rPr>
          <w:rFonts w:ascii="宋体" w:hAnsi="宋体" w:cs="宋体"/>
          <w:kern w:val="0"/>
          <w:sz w:val="32"/>
          <w:szCs w:val="32"/>
          <w:lang w:val="zh-CN"/>
        </w:rPr>
        <w:br w:type="page"/>
      </w:r>
      <w:r>
        <w:rPr>
          <w:rFonts w:hint="eastAsia" w:ascii="宋体" w:hAnsi="宋体" w:cs="宋体"/>
          <w:kern w:val="0"/>
          <w:sz w:val="32"/>
          <w:szCs w:val="32"/>
          <w:lang w:val="zh-CN"/>
        </w:rPr>
        <w:t>附件3</w:t>
      </w:r>
    </w:p>
    <w:p>
      <w:pPr>
        <w:adjustRightInd w:val="0"/>
        <w:snapToGrid w:val="0"/>
        <w:spacing w:line="360" w:lineRule="auto"/>
        <w:ind w:firstLine="200"/>
        <w:jc w:val="center"/>
        <w:rPr>
          <w:rFonts w:ascii="宋体" w:hAnsi="宋体" w:cs="宋体"/>
          <w:b/>
          <w:sz w:val="30"/>
          <w:szCs w:val="30"/>
        </w:rPr>
      </w:pPr>
      <w:r>
        <w:rPr>
          <w:rFonts w:hint="eastAsia" w:ascii="宋体" w:hAnsi="宋体" w:cs="宋体"/>
          <w:b/>
          <w:sz w:val="30"/>
          <w:szCs w:val="30"/>
        </w:rPr>
        <w:t>法定代表人授权委托书</w:t>
      </w:r>
    </w:p>
    <w:p>
      <w:pPr>
        <w:adjustRightInd w:val="0"/>
        <w:snapToGrid w:val="0"/>
        <w:spacing w:line="360" w:lineRule="auto"/>
        <w:ind w:firstLine="200"/>
        <w:rPr>
          <w:rFonts w:ascii="宋体" w:hAnsi="宋体" w:cs="宋体"/>
          <w:sz w:val="32"/>
          <w:szCs w:val="32"/>
        </w:rPr>
      </w:pP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本人</w:t>
      </w:r>
      <w:r>
        <w:rPr>
          <w:rFonts w:hint="eastAsia" w:ascii="宋体" w:hAnsi="宋体" w:cs="宋体"/>
          <w:sz w:val="24"/>
          <w:u w:val="single"/>
        </w:rPr>
        <w:t xml:space="preserve">        </w:t>
      </w:r>
      <w:r>
        <w:rPr>
          <w:rFonts w:hint="eastAsia" w:ascii="宋体" w:hAnsi="宋体" w:cs="宋体"/>
          <w:sz w:val="24"/>
        </w:rPr>
        <w:t>（姓名）系</w:t>
      </w:r>
      <w:r>
        <w:rPr>
          <w:rFonts w:hint="eastAsia" w:ascii="宋体" w:hAnsi="宋体" w:cs="宋体"/>
          <w:sz w:val="24"/>
          <w:u w:val="single"/>
        </w:rPr>
        <w:t xml:space="preserve">        </w:t>
      </w:r>
      <w:r>
        <w:rPr>
          <w:rFonts w:hint="eastAsia" w:ascii="宋体" w:hAnsi="宋体" w:cs="宋体"/>
          <w:sz w:val="24"/>
        </w:rPr>
        <w:t>（授权单位名称）的法定代表人，现委托</w:t>
      </w:r>
      <w:r>
        <w:rPr>
          <w:rFonts w:hint="eastAsia" w:ascii="宋体" w:hAnsi="宋体" w:cs="宋体"/>
          <w:sz w:val="24"/>
          <w:u w:val="single"/>
        </w:rPr>
        <w:t xml:space="preserve">        </w:t>
      </w:r>
      <w:r>
        <w:rPr>
          <w:rFonts w:hint="eastAsia" w:ascii="宋体" w:hAnsi="宋体" w:cs="宋体"/>
          <w:sz w:val="24"/>
        </w:rPr>
        <w:t>（姓名）（身份证号</w:t>
      </w:r>
      <w:r>
        <w:rPr>
          <w:rFonts w:hint="eastAsia" w:ascii="宋体" w:hAnsi="宋体" w:cs="宋体"/>
          <w:sz w:val="24"/>
          <w:u w:val="single"/>
        </w:rPr>
        <w:t xml:space="preserve">        </w:t>
      </w:r>
      <w:r>
        <w:rPr>
          <w:rFonts w:hint="eastAsia" w:ascii="宋体" w:hAnsi="宋体" w:cs="宋体"/>
          <w:sz w:val="24"/>
        </w:rPr>
        <w:t>）为我方代理人，以我方名义全权处理与本次采购项目（编号：</w:t>
      </w:r>
      <w:r>
        <w:rPr>
          <w:rFonts w:hint="eastAsia" w:ascii="宋体" w:hAnsi="宋体" w:cs="宋体"/>
          <w:sz w:val="24"/>
          <w:u w:val="single"/>
        </w:rPr>
        <w:t xml:space="preserve">        </w:t>
      </w:r>
      <w:r>
        <w:rPr>
          <w:rFonts w:hint="eastAsia" w:ascii="宋体" w:hAnsi="宋体" w:cs="宋体"/>
          <w:sz w:val="24"/>
        </w:rPr>
        <w:t>）有关的一切事务，其法律后果由我方承担。</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本授权书于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日起生效。代理人无转委托权。</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代理人(被授权人)：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授权单位名称（盖章）：</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授权单位法定代表人（签字或盖章）：</w:t>
      </w:r>
    </w:p>
    <w:p>
      <w:pPr>
        <w:adjustRightInd w:val="0"/>
        <w:snapToGrid w:val="0"/>
        <w:spacing w:line="360" w:lineRule="auto"/>
        <w:ind w:firstLine="200"/>
        <w:jc w:val="right"/>
        <w:rPr>
          <w:rFonts w:ascii="宋体" w:hAnsi="宋体" w:cs="宋体"/>
          <w:sz w:val="24"/>
        </w:rPr>
      </w:pPr>
    </w:p>
    <w:p>
      <w:pPr>
        <w:adjustRightInd w:val="0"/>
        <w:snapToGrid w:val="0"/>
        <w:spacing w:line="360" w:lineRule="auto"/>
        <w:ind w:firstLine="200"/>
        <w:jc w:val="right"/>
        <w:rPr>
          <w:rFonts w:ascii="宋体" w:hAnsi="宋体" w:cs="宋体"/>
          <w:sz w:val="24"/>
        </w:rPr>
      </w:pPr>
      <w:r>
        <w:rPr>
          <w:rFonts w:hint="eastAsia" w:ascii="宋体" w:hAnsi="宋体" w:cs="宋体"/>
          <w:sz w:val="24"/>
        </w:rPr>
        <w:t xml:space="preserve">  年  月  日</w:t>
      </w:r>
    </w:p>
    <w:p>
      <w:pPr>
        <w:adjustRightInd w:val="0"/>
        <w:snapToGrid w:val="0"/>
        <w:spacing w:line="360" w:lineRule="auto"/>
        <w:ind w:firstLine="463" w:firstLineChars="192"/>
        <w:rPr>
          <w:rFonts w:ascii="宋体" w:hAnsi="宋体" w:cs="宋体"/>
          <w:b/>
          <w:kern w:val="0"/>
          <w:sz w:val="24"/>
        </w:rPr>
      </w:pPr>
    </w:p>
    <w:p>
      <w:pPr>
        <w:adjustRightInd w:val="0"/>
        <w:snapToGrid w:val="0"/>
        <w:spacing w:line="360" w:lineRule="auto"/>
        <w:ind w:firstLine="463" w:firstLineChars="192"/>
        <w:rPr>
          <w:rFonts w:ascii="宋体" w:hAnsi="宋体" w:cs="宋体"/>
          <w:b/>
          <w:kern w:val="0"/>
          <w:sz w:val="24"/>
        </w:rPr>
      </w:pPr>
      <w:r>
        <w:rPr>
          <w:rFonts w:hint="eastAsia" w:ascii="宋体" w:hAnsi="宋体" w:cs="宋体"/>
          <w:b/>
          <w:kern w:val="0"/>
          <w:sz w:val="24"/>
        </w:rPr>
        <w:t>注：提供投标代表本人身份证复印件盖公章</w:t>
      </w: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widowControl/>
        <w:jc w:val="left"/>
        <w:rPr>
          <w:rFonts w:ascii="宋体" w:hAnsi="宋体" w:cs="宋体"/>
          <w:kern w:val="0"/>
          <w:sz w:val="32"/>
          <w:szCs w:val="32"/>
        </w:rPr>
      </w:pPr>
      <w:r>
        <w:rPr>
          <w:rFonts w:ascii="宋体" w:hAnsi="宋体" w:cs="宋体"/>
          <w:kern w:val="0"/>
          <w:sz w:val="32"/>
          <w:szCs w:val="32"/>
        </w:rPr>
        <w:br w:type="page"/>
      </w:r>
    </w:p>
    <w:p>
      <w:pPr>
        <w:snapToGrid w:val="0"/>
        <w:spacing w:line="400" w:lineRule="exact"/>
        <w:contextualSpacing/>
        <w:rPr>
          <w:rFonts w:ascii="宋体" w:hAnsi="宋体" w:cs="宋体"/>
          <w:kern w:val="0"/>
          <w:sz w:val="32"/>
          <w:szCs w:val="32"/>
        </w:rPr>
      </w:pPr>
      <w:r>
        <w:rPr>
          <w:rFonts w:hint="eastAsia" w:ascii="宋体" w:hAnsi="宋体" w:cs="宋体"/>
          <w:kern w:val="0"/>
          <w:sz w:val="32"/>
          <w:szCs w:val="32"/>
        </w:rPr>
        <w:t>附件4</w:t>
      </w:r>
    </w:p>
    <w:p>
      <w:pPr>
        <w:jc w:val="center"/>
        <w:rPr>
          <w:rFonts w:ascii="宋体" w:hAnsi="宋体" w:cs="宋体"/>
          <w:b/>
          <w:bCs/>
          <w:sz w:val="32"/>
          <w:szCs w:val="32"/>
        </w:rPr>
      </w:pPr>
      <w:r>
        <w:rPr>
          <w:rFonts w:hint="eastAsia" w:ascii="宋体" w:hAnsi="宋体" w:cs="宋体"/>
          <w:b/>
          <w:bCs/>
          <w:sz w:val="32"/>
          <w:szCs w:val="32"/>
        </w:rPr>
        <w:t>联合体协议书</w:t>
      </w:r>
    </w:p>
    <w:p>
      <w:pPr>
        <w:spacing w:line="360" w:lineRule="auto"/>
        <w:ind w:firstLine="420" w:firstLineChars="200"/>
        <w:rPr>
          <w:rFonts w:ascii="宋体" w:hAnsi="宋体" w:cs="宋体"/>
          <w:szCs w:val="21"/>
          <w:u w:val="single"/>
        </w:rPr>
      </w:pPr>
    </w:p>
    <w:p>
      <w:pPr>
        <w:spacing w:line="360" w:lineRule="auto"/>
        <w:ind w:firstLine="480" w:firstLineChars="200"/>
        <w:rPr>
          <w:rFonts w:ascii="宋体" w:hAnsi="宋体" w:cs="宋体"/>
          <w:sz w:val="24"/>
        </w:rPr>
      </w:pPr>
      <w:r>
        <w:rPr>
          <w:rFonts w:hint="eastAsia" w:ascii="宋体" w:hAnsi="宋体" w:cs="宋体"/>
          <w:sz w:val="24"/>
          <w:u w:val="single"/>
        </w:rPr>
        <w:t>（甲公司名称）</w:t>
      </w:r>
      <w:r>
        <w:rPr>
          <w:rFonts w:hint="eastAsia" w:ascii="宋体" w:hAnsi="宋体" w:cs="宋体"/>
          <w:sz w:val="24"/>
        </w:rPr>
        <w:t>和</w:t>
      </w:r>
      <w:r>
        <w:rPr>
          <w:rFonts w:hint="eastAsia" w:ascii="宋体" w:hAnsi="宋体" w:cs="宋体"/>
          <w:sz w:val="24"/>
          <w:u w:val="single"/>
        </w:rPr>
        <w:t>（乙公司名称）</w:t>
      </w:r>
      <w:r>
        <w:rPr>
          <w:rFonts w:hint="eastAsia" w:ascii="宋体" w:hAnsi="宋体" w:cs="宋体"/>
          <w:sz w:val="24"/>
        </w:rPr>
        <w:t>自愿组成联合体，参加</w:t>
      </w:r>
      <w:r>
        <w:rPr>
          <w:rFonts w:hint="eastAsia" w:ascii="宋体" w:hAnsi="宋体" w:cs="宋体"/>
          <w:sz w:val="24"/>
          <w:u w:val="single"/>
        </w:rPr>
        <w:t xml:space="preserve">                 </w:t>
      </w:r>
      <w:r>
        <w:rPr>
          <w:rFonts w:hint="eastAsia" w:ascii="宋体" w:hAnsi="宋体" w:cs="宋体"/>
          <w:sz w:val="24"/>
        </w:rPr>
        <w:t>项目投标。现就有关事宜订立协议如下：</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u w:val="single"/>
        </w:rPr>
        <w:t>（甲公司名称）</w:t>
      </w:r>
      <w:r>
        <w:rPr>
          <w:rFonts w:hint="eastAsia" w:ascii="宋体" w:hAnsi="宋体" w:cs="宋体"/>
          <w:sz w:val="24"/>
        </w:rPr>
        <w:t>为联合体牵头方，</w:t>
      </w:r>
      <w:r>
        <w:rPr>
          <w:rFonts w:hint="eastAsia" w:ascii="宋体" w:hAnsi="宋体" w:cs="宋体"/>
          <w:sz w:val="24"/>
          <w:u w:val="single"/>
        </w:rPr>
        <w:t>（乙公司名称）</w:t>
      </w:r>
      <w:r>
        <w:rPr>
          <w:rFonts w:hint="eastAsia" w:ascii="宋体" w:hAnsi="宋体" w:cs="宋体"/>
          <w:sz w:val="24"/>
        </w:rPr>
        <w:t>为联合体成员方；</w:t>
      </w:r>
    </w:p>
    <w:p>
      <w:pPr>
        <w:spacing w:line="360" w:lineRule="auto"/>
        <w:ind w:firstLine="480" w:firstLineChars="200"/>
        <w:rPr>
          <w:rFonts w:ascii="宋体" w:hAnsi="宋体" w:cs="宋体"/>
          <w:sz w:val="24"/>
        </w:rPr>
      </w:pPr>
      <w:r>
        <w:rPr>
          <w:rFonts w:hint="eastAsia" w:ascii="宋体" w:hAnsi="宋体" w:cs="宋体"/>
          <w:sz w:val="24"/>
        </w:rPr>
        <w:t>2.联合体内部有关事项规定如下：</w:t>
      </w:r>
    </w:p>
    <w:p>
      <w:pPr>
        <w:spacing w:line="360" w:lineRule="auto"/>
        <w:ind w:firstLine="480" w:firstLineChars="200"/>
        <w:rPr>
          <w:rFonts w:ascii="宋体" w:hAnsi="宋体" w:cs="宋体"/>
          <w:sz w:val="24"/>
        </w:rPr>
      </w:pPr>
      <w:r>
        <w:rPr>
          <w:rFonts w:hint="eastAsia" w:ascii="宋体" w:hAnsi="宋体" w:cs="宋体"/>
          <w:sz w:val="24"/>
        </w:rPr>
        <w:t>（1）联合体由牵头方负责与采购方联系。</w:t>
      </w:r>
    </w:p>
    <w:p>
      <w:pPr>
        <w:spacing w:line="360" w:lineRule="auto"/>
        <w:ind w:firstLine="480" w:firstLineChars="200"/>
        <w:rPr>
          <w:rFonts w:ascii="宋体" w:hAnsi="宋体" w:cs="宋体"/>
          <w:sz w:val="24"/>
        </w:rPr>
      </w:pPr>
      <w:r>
        <w:rPr>
          <w:rFonts w:hint="eastAsia" w:ascii="宋体" w:hAnsi="宋体" w:cs="宋体"/>
          <w:sz w:val="24"/>
        </w:rPr>
        <w:t>（2）投标工作由联合体牵头方负责，由双方组成的投标小组具体实施；联合体牵头方代表联合体办理投标事宜，联合体牵头方在投标文件中的所有承诺均代表了联合体各成员。</w:t>
      </w:r>
    </w:p>
    <w:p>
      <w:pPr>
        <w:spacing w:line="360" w:lineRule="auto"/>
        <w:ind w:firstLine="480" w:firstLineChars="200"/>
        <w:rPr>
          <w:rFonts w:ascii="宋体" w:hAnsi="宋体" w:cs="宋体"/>
          <w:sz w:val="24"/>
        </w:rPr>
      </w:pPr>
      <w:r>
        <w:rPr>
          <w:rFonts w:hint="eastAsia" w:ascii="宋体" w:hAnsi="宋体" w:cs="宋体"/>
          <w:sz w:val="24"/>
        </w:rPr>
        <w:t>（3）联合体将严格按照招标文件的各项要求，递交投标文件，切实执行一切合同文件，共同承担合同规定的一切义务和责任，同时按照内部职责的划分，承担自身所负的责任和风险，在法律上承担连带责任。</w:t>
      </w:r>
    </w:p>
    <w:p>
      <w:pPr>
        <w:spacing w:line="360" w:lineRule="auto"/>
        <w:ind w:firstLine="480" w:firstLineChars="200"/>
        <w:rPr>
          <w:rFonts w:ascii="宋体" w:hAnsi="宋体" w:cs="宋体"/>
          <w:sz w:val="24"/>
        </w:rPr>
      </w:pPr>
      <w:r>
        <w:rPr>
          <w:rFonts w:hint="eastAsia" w:ascii="宋体" w:hAnsi="宋体" w:cs="宋体"/>
          <w:sz w:val="24"/>
        </w:rPr>
        <w:t>（4）如成交，联合体内部将遵守以下规定：</w:t>
      </w:r>
    </w:p>
    <w:p>
      <w:pPr>
        <w:spacing w:line="360" w:lineRule="auto"/>
        <w:ind w:firstLine="480" w:firstLineChars="200"/>
        <w:rPr>
          <w:rFonts w:ascii="宋体" w:hAnsi="宋体" w:cs="宋体"/>
          <w:sz w:val="24"/>
        </w:rPr>
      </w:pPr>
      <w:r>
        <w:rPr>
          <w:rFonts w:hint="eastAsia" w:ascii="宋体" w:hAnsi="宋体" w:cs="宋体"/>
          <w:sz w:val="24"/>
        </w:rPr>
        <w:t>a、联合体牵头方和成员共同与采购人签订合同书，并就成交项目向采购人负有连带的和各自的法律责任；</w:t>
      </w:r>
    </w:p>
    <w:p>
      <w:pPr>
        <w:spacing w:line="360" w:lineRule="auto"/>
        <w:ind w:firstLine="480" w:firstLineChars="200"/>
        <w:rPr>
          <w:rFonts w:ascii="宋体" w:hAnsi="宋体" w:cs="宋体"/>
          <w:sz w:val="24"/>
        </w:rPr>
      </w:pPr>
      <w:r>
        <w:rPr>
          <w:rFonts w:hint="eastAsia" w:ascii="宋体" w:hAnsi="宋体" w:cs="宋体"/>
          <w:sz w:val="24"/>
        </w:rPr>
        <w:t>b、联合体牵头方代表联合体成员承担责任和接受业主的指令、指示和通知，并且在整个合同实施过程中的全部事宜均由联合体牵头方负责；</w:t>
      </w:r>
    </w:p>
    <w:p>
      <w:pPr>
        <w:spacing w:line="360" w:lineRule="auto"/>
        <w:ind w:firstLine="480" w:firstLineChars="200"/>
        <w:rPr>
          <w:rFonts w:ascii="宋体" w:hAnsi="宋体" w:cs="宋体"/>
          <w:sz w:val="24"/>
          <w:u w:val="single"/>
        </w:rPr>
      </w:pPr>
      <w:r>
        <w:rPr>
          <w:rFonts w:hint="eastAsia" w:ascii="宋体" w:hAnsi="宋体" w:cs="宋体"/>
          <w:sz w:val="24"/>
        </w:rPr>
        <w:t>c、联合体各方分工原则以及各方拟承担的工作、所占合同总金额比例和责任如下：</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d、本联合体协议书有效期至</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（5）投标工作和联合体在成交后项目实施过程中的有关费用按各自承担的工作量分摊。</w:t>
      </w:r>
    </w:p>
    <w:p>
      <w:pPr>
        <w:spacing w:line="360" w:lineRule="auto"/>
        <w:ind w:firstLine="480" w:firstLineChars="200"/>
        <w:rPr>
          <w:rFonts w:ascii="宋体" w:hAnsi="宋体" w:cs="宋体"/>
          <w:sz w:val="24"/>
        </w:rPr>
      </w:pPr>
      <w:r>
        <w:rPr>
          <w:rFonts w:hint="eastAsia" w:ascii="宋体" w:hAnsi="宋体" w:cs="宋体"/>
          <w:sz w:val="24"/>
        </w:rPr>
        <w:t>（6）双方均有义务提供足够的资料，以满足采购人对投标资格的要求。</w:t>
      </w:r>
    </w:p>
    <w:p>
      <w:pPr>
        <w:spacing w:line="360" w:lineRule="auto"/>
        <w:ind w:firstLine="480" w:firstLineChars="200"/>
        <w:rPr>
          <w:rFonts w:ascii="宋体" w:hAnsi="宋体" w:cs="宋体"/>
          <w:sz w:val="24"/>
        </w:rPr>
      </w:pPr>
      <w:r>
        <w:rPr>
          <w:rFonts w:hint="eastAsia" w:ascii="宋体" w:hAnsi="宋体" w:cs="宋体"/>
          <w:sz w:val="24"/>
        </w:rPr>
        <w:t>（7）联合体的投标文件、采购人的招标文件、联合体与采购人签订的合同均对双方具有约束力。</w:t>
      </w:r>
    </w:p>
    <w:p>
      <w:pPr>
        <w:spacing w:line="360" w:lineRule="auto"/>
        <w:ind w:firstLine="480" w:firstLineChars="200"/>
        <w:rPr>
          <w:rFonts w:ascii="宋体" w:hAnsi="宋体" w:cs="宋体"/>
          <w:sz w:val="24"/>
        </w:rPr>
      </w:pPr>
      <w:r>
        <w:rPr>
          <w:rFonts w:hint="eastAsia" w:ascii="宋体" w:hAnsi="宋体" w:cs="宋体"/>
          <w:sz w:val="24"/>
        </w:rPr>
        <w:t>（8）联合体的一方没有履行自己的义务时，应承担另一方由此而造成的直接损失。</w:t>
      </w:r>
    </w:p>
    <w:p>
      <w:pPr>
        <w:spacing w:line="360" w:lineRule="auto"/>
        <w:ind w:firstLine="480" w:firstLineChars="200"/>
        <w:rPr>
          <w:rFonts w:ascii="宋体" w:hAnsi="宋体" w:cs="宋体"/>
          <w:sz w:val="24"/>
        </w:rPr>
      </w:pPr>
      <w:r>
        <w:rPr>
          <w:rFonts w:hint="eastAsia" w:ascii="宋体" w:hAnsi="宋体" w:cs="宋体"/>
          <w:sz w:val="24"/>
        </w:rPr>
        <w:t>（9）因联合体的一方或双方没有履行自己的义务，造成联合体在履行与采购人的合同时违约或联合体与采购人的合同无法继续履行时，直接责任方应承担相关责任。</w:t>
      </w:r>
    </w:p>
    <w:p>
      <w:pPr>
        <w:spacing w:line="360" w:lineRule="auto"/>
        <w:ind w:firstLine="480" w:firstLineChars="200"/>
        <w:rPr>
          <w:rFonts w:ascii="宋体" w:hAnsi="宋体" w:cs="宋体"/>
          <w:sz w:val="24"/>
        </w:rPr>
      </w:pPr>
      <w:r>
        <w:rPr>
          <w:rFonts w:hint="eastAsia" w:ascii="宋体" w:hAnsi="宋体" w:cs="宋体"/>
          <w:sz w:val="24"/>
        </w:rPr>
        <w:t>3.本协议书自签署之日起生效，在上述（4）d所述的合同书规定的期限之后自行失效；如成交后，联合体内部另有协议的，联合体牵头方应将该协议书送交采购人。</w:t>
      </w:r>
    </w:p>
    <w:p>
      <w:pPr>
        <w:spacing w:line="360" w:lineRule="auto"/>
        <w:ind w:firstLine="480" w:firstLineChars="200"/>
        <w:rPr>
          <w:rFonts w:ascii="宋体" w:hAnsi="宋体" w:cs="宋体"/>
          <w:sz w:val="24"/>
        </w:rPr>
      </w:pPr>
      <w:r>
        <w:rPr>
          <w:rFonts w:hint="eastAsia" w:ascii="宋体" w:hAnsi="宋体" w:cs="宋体"/>
          <w:sz w:val="24"/>
        </w:rPr>
        <w:t>4.本协议书正本一式四份，投标时正本中放置一份原件，成交后送采购人存档一份，联合体成员各一份；副本一式六份，联合体成员各执三份。</w:t>
      </w:r>
    </w:p>
    <w:p>
      <w:pPr>
        <w:spacing w:line="360" w:lineRule="auto"/>
        <w:ind w:firstLine="480" w:firstLineChars="200"/>
        <w:rPr>
          <w:rFonts w:ascii="宋体" w:hAnsi="宋体" w:cs="宋体"/>
          <w:sz w:val="24"/>
        </w:rPr>
      </w:pPr>
      <w:r>
        <w:rPr>
          <w:rFonts w:hint="eastAsia" w:ascii="宋体" w:hAnsi="宋体" w:cs="宋体"/>
          <w:sz w:val="24"/>
        </w:rPr>
        <w:t>5.签署本协议书后，投标文件中签署联合体牵头人的法定代表人或授权委托人、单位印章即可代表联合体双方的意志。</w:t>
      </w:r>
    </w:p>
    <w:p>
      <w:pPr>
        <w:spacing w:line="360" w:lineRule="auto"/>
        <w:ind w:firstLine="480" w:firstLineChars="200"/>
        <w:rPr>
          <w:rFonts w:ascii="宋体" w:hAnsi="宋体" w:cs="宋体"/>
          <w:sz w:val="24"/>
        </w:rPr>
      </w:pPr>
      <w:r>
        <w:rPr>
          <w:rFonts w:hint="eastAsia" w:ascii="宋体" w:hAnsi="宋体" w:cs="宋体"/>
          <w:sz w:val="24"/>
        </w:rPr>
        <w:t>6.各方不得再以自己名义在本项目中单独投标。因发生上述问题导致联合体投标成为废标，联合体的其他成员可追究违约责任。</w:t>
      </w:r>
    </w:p>
    <w:p>
      <w:pPr>
        <w:spacing w:line="460" w:lineRule="exact"/>
        <w:rPr>
          <w:rFonts w:ascii="宋体" w:hAnsi="宋体" w:cs="宋体"/>
          <w:sz w:val="24"/>
        </w:rPr>
      </w:pPr>
    </w:p>
    <w:p>
      <w:pPr>
        <w:spacing w:line="460" w:lineRule="exact"/>
        <w:rPr>
          <w:rFonts w:ascii="宋体" w:hAnsi="宋体" w:cs="宋体"/>
          <w:sz w:val="24"/>
        </w:rPr>
      </w:pPr>
    </w:p>
    <w:p>
      <w:pPr>
        <w:spacing w:line="460" w:lineRule="exact"/>
        <w:rPr>
          <w:rFonts w:ascii="宋体" w:hAnsi="宋体" w:cs="宋体"/>
          <w:sz w:val="24"/>
        </w:rPr>
      </w:pPr>
      <w:r>
        <w:rPr>
          <w:rFonts w:hint="eastAsia" w:ascii="宋体" w:hAnsi="宋体" w:cs="宋体"/>
          <w:sz w:val="24"/>
        </w:rPr>
        <w:t>甲公司名称：（全称）（盖章）             乙公司名称：（全称）（盖章）</w:t>
      </w:r>
    </w:p>
    <w:p>
      <w:pPr>
        <w:spacing w:line="460" w:lineRule="exact"/>
        <w:rPr>
          <w:rFonts w:ascii="宋体" w:hAnsi="宋体" w:cs="宋体"/>
          <w:sz w:val="24"/>
        </w:rPr>
      </w:pPr>
    </w:p>
    <w:p>
      <w:pPr>
        <w:spacing w:line="460" w:lineRule="exact"/>
        <w:rPr>
          <w:rFonts w:ascii="宋体" w:hAnsi="宋体" w:cs="宋体"/>
          <w:sz w:val="24"/>
        </w:rPr>
      </w:pPr>
      <w:r>
        <w:rPr>
          <w:rFonts w:hint="eastAsia" w:ascii="宋体" w:hAnsi="宋体" w:cs="宋体"/>
          <w:sz w:val="24"/>
        </w:rPr>
        <w:t>法定代表人：（签字或盖章）               法定代表人：（签字或盖章）</w:t>
      </w:r>
    </w:p>
    <w:p>
      <w:pPr>
        <w:spacing w:line="460" w:lineRule="exact"/>
        <w:rPr>
          <w:rFonts w:ascii="宋体" w:hAnsi="宋体" w:cs="宋体"/>
          <w:sz w:val="24"/>
        </w:rPr>
      </w:pPr>
    </w:p>
    <w:p>
      <w:pPr>
        <w:spacing w:line="460" w:lineRule="exact"/>
        <w:rPr>
          <w:rFonts w:ascii="宋体" w:hAnsi="宋体" w:cs="宋体"/>
          <w:sz w:val="24"/>
        </w:rPr>
      </w:pPr>
    </w:p>
    <w:p>
      <w:pPr>
        <w:spacing w:line="460" w:lineRule="exact"/>
        <w:rPr>
          <w:rFonts w:ascii="宋体" w:hAnsi="宋体" w:cs="宋体"/>
          <w:sz w:val="24"/>
        </w:rPr>
      </w:pPr>
      <w:r>
        <w:rPr>
          <w:rFonts w:hint="eastAsia" w:ascii="宋体" w:hAnsi="宋体" w:cs="宋体"/>
          <w:sz w:val="24"/>
        </w:rPr>
        <w:t xml:space="preserve">         年   月   日                          年   月   日</w:t>
      </w:r>
    </w:p>
    <w:p>
      <w:pPr>
        <w:spacing w:line="480" w:lineRule="exact"/>
        <w:ind w:right="1680"/>
        <w:rPr>
          <w:rFonts w:ascii="宋体" w:hAnsi="宋体" w:cs="宋体"/>
          <w:sz w:val="24"/>
        </w:rPr>
      </w:pPr>
    </w:p>
    <w:p>
      <w:pPr>
        <w:snapToGrid w:val="0"/>
        <w:spacing w:line="300" w:lineRule="auto"/>
        <w:outlineLvl w:val="0"/>
        <w:rPr>
          <w:rFonts w:ascii="宋体" w:hAnsi="宋体" w:cs="宋体"/>
          <w:sz w:val="24"/>
        </w:rPr>
      </w:pPr>
      <w:r>
        <w:rPr>
          <w:rFonts w:hint="eastAsia" w:ascii="宋体" w:hAnsi="宋体" w:cs="宋体"/>
          <w:sz w:val="24"/>
        </w:rPr>
        <w:t>注：本表仅供联合体投标填写。</w:t>
      </w:r>
    </w:p>
    <w:p>
      <w:pPr>
        <w:snapToGrid w:val="0"/>
        <w:spacing w:line="400" w:lineRule="exact"/>
        <w:contextualSpacing/>
        <w:rPr>
          <w:rFonts w:ascii="宋体" w:hAnsi="宋体" w:cs="宋体"/>
          <w:kern w:val="0"/>
          <w:sz w:val="32"/>
          <w:szCs w:val="32"/>
        </w:rPr>
      </w:pPr>
    </w:p>
    <w:p>
      <w:pPr>
        <w:widowControl/>
        <w:jc w:val="left"/>
        <w:rPr>
          <w:rFonts w:ascii="宋体" w:hAnsi="宋体" w:cs="宋体"/>
          <w:kern w:val="0"/>
          <w:sz w:val="32"/>
          <w:szCs w:val="32"/>
        </w:rPr>
      </w:pPr>
      <w:r>
        <w:rPr>
          <w:rFonts w:ascii="宋体" w:hAnsi="宋体" w:cs="宋体"/>
          <w:kern w:val="0"/>
          <w:sz w:val="32"/>
          <w:szCs w:val="32"/>
        </w:rPr>
        <w:br w:type="page"/>
      </w:r>
    </w:p>
    <w:p>
      <w:pPr>
        <w:snapToGrid w:val="0"/>
        <w:spacing w:line="400" w:lineRule="exact"/>
        <w:contextualSpacing/>
        <w:rPr>
          <w:rFonts w:ascii="宋体" w:hAnsi="宋体" w:cs="宋体"/>
          <w:kern w:val="0"/>
          <w:sz w:val="32"/>
          <w:szCs w:val="32"/>
        </w:rPr>
      </w:pPr>
      <w:r>
        <w:rPr>
          <w:rFonts w:hint="eastAsia" w:ascii="宋体" w:hAnsi="宋体" w:cs="宋体"/>
          <w:kern w:val="0"/>
          <w:sz w:val="32"/>
          <w:szCs w:val="32"/>
        </w:rPr>
        <w:t>附件5</w:t>
      </w:r>
    </w:p>
    <w:p>
      <w:pPr>
        <w:spacing w:before="240" w:line="312" w:lineRule="auto"/>
        <w:jc w:val="center"/>
        <w:rPr>
          <w:rFonts w:ascii="宋体" w:hAnsi="宋体" w:cs="宋体"/>
          <w:b/>
          <w:sz w:val="30"/>
          <w:szCs w:val="30"/>
        </w:rPr>
      </w:pPr>
      <w:r>
        <w:rPr>
          <w:rFonts w:hint="eastAsia" w:ascii="宋体" w:hAnsi="宋体" w:cs="宋体"/>
          <w:b/>
          <w:sz w:val="30"/>
          <w:szCs w:val="30"/>
        </w:rPr>
        <w:t>投标供应商信用承诺书</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为营造公开、公平、公正的交易环境，树立诚信守法的投标供应商形象，本人代表本单位做出以下承诺：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一、本单位对所提交的单位基本信息、单位负责人、项目负责人、技术负责人、从业资质和资格、业绩、财务状况、信誉等所有资料，均合法、真实、准确、有效，无任何伪造、修改、虚假成分；</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二、严格依照国家和省、市、县关于国企采购等方面的法律、法规、规章、规范性文件，参加招标投标活动；积极履行社会责任，促进廉政建设；</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三、严格遵守即时信息公示规定；</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四、自我约束、自我管理，守合同、重信用，不参与围标串标、弄虚作假、骗取中标（或成交）、干扰评标、违约毁约、恶意投诉等行为，主动维护招标投标的良好秩序；</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五、本单位自愿接受国企采购有关行政监督部门的依法检查。如发生违法违规或不良行为或存在其他法律法规对招标投标行为予以限制的情形，自愿接受国企采购有关行政监督部门依法给予的行政处罚（处理），并依法承担相应的法律责任；</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六、自觉接受政府部门、行业组织、社会公众、新闻舆论等监督；</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七、上述承诺已向本单位员工作了宣传教育；</w:t>
      </w:r>
    </w:p>
    <w:p>
      <w:pPr>
        <w:spacing w:line="360" w:lineRule="auto"/>
        <w:ind w:firstLine="482" w:firstLineChars="200"/>
        <w:rPr>
          <w:rFonts w:ascii="宋体" w:hAnsi="宋体" w:cs="宋体"/>
          <w:b/>
          <w:kern w:val="0"/>
          <w:sz w:val="24"/>
          <w:lang w:val="zh-CN"/>
        </w:rPr>
      </w:pPr>
      <w:r>
        <w:rPr>
          <w:rFonts w:hint="eastAsia" w:ascii="宋体" w:hAnsi="宋体" w:cs="宋体"/>
          <w:b/>
          <w:kern w:val="0"/>
          <w:sz w:val="24"/>
          <w:lang w:val="zh-CN"/>
        </w:rPr>
        <w:t>如有违反上述承诺的不良行为，本单位同意将其予以上网公示。</w:t>
      </w:r>
    </w:p>
    <w:p>
      <w:pPr>
        <w:spacing w:line="360" w:lineRule="auto"/>
        <w:ind w:firstLine="4560" w:firstLineChars="1900"/>
        <w:rPr>
          <w:rFonts w:ascii="宋体" w:hAnsi="宋体" w:cs="宋体"/>
          <w:kern w:val="0"/>
          <w:sz w:val="24"/>
          <w:lang w:val="zh-CN"/>
        </w:rPr>
      </w:pPr>
    </w:p>
    <w:p>
      <w:pPr>
        <w:spacing w:line="360" w:lineRule="auto"/>
        <w:ind w:firstLine="3080" w:firstLineChars="1100"/>
        <w:rPr>
          <w:rFonts w:ascii="宋体" w:hAnsi="宋体" w:cs="宋体"/>
          <w:kern w:val="0"/>
          <w:sz w:val="28"/>
          <w:szCs w:val="28"/>
          <w:u w:val="single"/>
          <w:lang w:val="zh-CN"/>
        </w:rPr>
      </w:pPr>
      <w:r>
        <w:rPr>
          <w:rFonts w:hint="eastAsia" w:ascii="宋体" w:hAnsi="宋体" w:cs="宋体"/>
          <w:kern w:val="0"/>
          <w:sz w:val="28"/>
          <w:szCs w:val="28"/>
          <w:lang w:val="zh-CN"/>
        </w:rPr>
        <w:t>投标供应商全称(盖公章)：</w:t>
      </w:r>
    </w:p>
    <w:p>
      <w:pPr>
        <w:spacing w:line="360" w:lineRule="auto"/>
        <w:ind w:firstLine="3080" w:firstLineChars="1100"/>
        <w:rPr>
          <w:rFonts w:ascii="宋体" w:hAnsi="宋体" w:cs="宋体"/>
          <w:sz w:val="28"/>
          <w:szCs w:val="28"/>
          <w:u w:val="single"/>
          <w:lang w:val="zh-CN"/>
        </w:rPr>
      </w:pPr>
      <w:r>
        <w:rPr>
          <w:rFonts w:hint="eastAsia" w:ascii="宋体" w:hAnsi="宋体" w:cs="宋体"/>
          <w:kern w:val="0"/>
          <w:sz w:val="28"/>
          <w:szCs w:val="28"/>
          <w:lang w:val="zh-CN"/>
        </w:rPr>
        <w:t>法定代表人（签字或盖章）：</w:t>
      </w:r>
    </w:p>
    <w:p>
      <w:pPr>
        <w:spacing w:line="360" w:lineRule="auto"/>
        <w:ind w:firstLine="3080" w:firstLineChars="1100"/>
        <w:rPr>
          <w:rFonts w:ascii="宋体" w:hAnsi="宋体" w:cs="宋体"/>
          <w:kern w:val="0"/>
          <w:sz w:val="28"/>
          <w:szCs w:val="28"/>
          <w:lang w:val="zh-CN"/>
        </w:rPr>
      </w:pPr>
      <w:r>
        <w:rPr>
          <w:rFonts w:hint="eastAsia" w:ascii="宋体" w:hAnsi="宋体" w:cs="宋体"/>
          <w:kern w:val="0"/>
          <w:sz w:val="28"/>
          <w:szCs w:val="28"/>
          <w:lang w:val="zh-CN"/>
        </w:rPr>
        <w:t>时间：  年  月   日</w:t>
      </w:r>
    </w:p>
    <w:p>
      <w:pPr>
        <w:snapToGrid w:val="0"/>
        <w:spacing w:line="400" w:lineRule="exact"/>
        <w:contextualSpacing/>
        <w:rPr>
          <w:rFonts w:ascii="宋体" w:hAnsi="宋体" w:cs="宋体"/>
          <w:kern w:val="0"/>
          <w:sz w:val="32"/>
          <w:szCs w:val="32"/>
        </w:rPr>
      </w:pPr>
    </w:p>
    <w:p>
      <w:pPr>
        <w:pStyle w:val="19"/>
      </w:pPr>
    </w:p>
    <w:p>
      <w:pPr>
        <w:widowControl/>
        <w:jc w:val="left"/>
        <w:rPr>
          <w:rFonts w:ascii="宋体" w:hAnsi="宋体" w:cs="宋体"/>
          <w:kern w:val="0"/>
          <w:sz w:val="32"/>
          <w:szCs w:val="32"/>
        </w:rPr>
      </w:pPr>
      <w:r>
        <w:rPr>
          <w:rFonts w:ascii="宋体" w:hAnsi="宋体" w:cs="宋体"/>
          <w:kern w:val="0"/>
          <w:sz w:val="32"/>
          <w:szCs w:val="32"/>
        </w:rPr>
        <w:br w:type="page"/>
      </w:r>
    </w:p>
    <w:p>
      <w:pPr>
        <w:snapToGrid w:val="0"/>
        <w:spacing w:line="400" w:lineRule="exact"/>
        <w:contextualSpacing/>
        <w:rPr>
          <w:rFonts w:ascii="宋体" w:hAnsi="宋体" w:cs="宋体"/>
          <w:kern w:val="0"/>
          <w:sz w:val="32"/>
          <w:szCs w:val="32"/>
        </w:rPr>
      </w:pPr>
      <w:r>
        <w:rPr>
          <w:rFonts w:hint="eastAsia" w:ascii="宋体" w:hAnsi="宋体" w:cs="宋体"/>
          <w:kern w:val="0"/>
          <w:sz w:val="32"/>
          <w:szCs w:val="32"/>
        </w:rPr>
        <w:t>附件6</w:t>
      </w:r>
    </w:p>
    <w:p>
      <w:pPr>
        <w:tabs>
          <w:tab w:val="left" w:pos="1260"/>
        </w:tabs>
        <w:snapToGrid w:val="0"/>
        <w:spacing w:line="300" w:lineRule="auto"/>
        <w:contextualSpacing/>
        <w:jc w:val="center"/>
        <w:rPr>
          <w:rFonts w:ascii="宋体" w:hAnsi="宋体" w:cs="宋体"/>
          <w:b/>
          <w:sz w:val="30"/>
          <w:szCs w:val="30"/>
        </w:rPr>
      </w:pPr>
      <w:r>
        <w:rPr>
          <w:rFonts w:hint="eastAsia" w:ascii="宋体" w:hAnsi="宋体" w:cs="宋体"/>
          <w:b/>
          <w:sz w:val="30"/>
          <w:szCs w:val="30"/>
        </w:rPr>
        <w:t>投标供应商情况一览表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25"/>
        <w:gridCol w:w="851"/>
        <w:gridCol w:w="367"/>
        <w:gridCol w:w="1050"/>
        <w:gridCol w:w="567"/>
        <w:gridCol w:w="946"/>
        <w:gridCol w:w="1263"/>
        <w:gridCol w:w="151"/>
        <w:gridCol w:w="1122"/>
        <w:gridCol w:w="62"/>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gridSpan w:val="2"/>
            <w:tcBorders>
              <w:top w:val="double" w:color="auto" w:sz="4" w:space="0"/>
              <w:left w:val="double" w:color="auto" w:sz="4" w:space="0"/>
            </w:tcBorders>
            <w:vAlign w:val="center"/>
          </w:tcPr>
          <w:p>
            <w:pPr>
              <w:tabs>
                <w:tab w:val="left" w:pos="4320"/>
              </w:tabs>
              <w:jc w:val="center"/>
              <w:rPr>
                <w:rFonts w:ascii="宋体" w:hAnsi="宋体" w:cs="宋体"/>
                <w:sz w:val="24"/>
              </w:rPr>
            </w:pPr>
            <w:r>
              <w:rPr>
                <w:rFonts w:hint="eastAsia" w:ascii="宋体" w:hAnsi="宋体" w:cs="宋体"/>
                <w:sz w:val="24"/>
              </w:rPr>
              <w:t>单位名称</w:t>
            </w:r>
          </w:p>
        </w:tc>
        <w:tc>
          <w:tcPr>
            <w:tcW w:w="7923" w:type="dxa"/>
            <w:gridSpan w:val="10"/>
            <w:tcBorders>
              <w:top w:val="double" w:color="auto" w:sz="4" w:space="0"/>
              <w:right w:val="double" w:color="auto" w:sz="4" w:space="0"/>
            </w:tcBorders>
            <w:vAlign w:val="center"/>
          </w:tcPr>
          <w:p>
            <w:pPr>
              <w:tabs>
                <w:tab w:val="left" w:pos="4320"/>
              </w:tabs>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3" w:type="dxa"/>
            <w:gridSpan w:val="3"/>
            <w:tcBorders>
              <w:left w:val="double" w:color="auto" w:sz="4" w:space="0"/>
              <w:right w:val="single" w:color="auto" w:sz="4" w:space="0"/>
            </w:tcBorders>
            <w:vAlign w:val="center"/>
          </w:tcPr>
          <w:p>
            <w:pPr>
              <w:tabs>
                <w:tab w:val="left" w:pos="4320"/>
              </w:tabs>
              <w:rPr>
                <w:rFonts w:ascii="宋体" w:hAnsi="宋体" w:cs="宋体"/>
                <w:sz w:val="24"/>
              </w:rPr>
            </w:pPr>
            <w:r>
              <w:rPr>
                <w:rFonts w:hint="eastAsia" w:ascii="宋体" w:hAnsi="宋体" w:cs="宋体"/>
                <w:sz w:val="24"/>
              </w:rPr>
              <w:t>单位优势及特长</w:t>
            </w:r>
          </w:p>
        </w:tc>
        <w:tc>
          <w:tcPr>
            <w:tcW w:w="7072" w:type="dxa"/>
            <w:gridSpan w:val="9"/>
            <w:tcBorders>
              <w:left w:val="single" w:color="auto" w:sz="4" w:space="0"/>
              <w:right w:val="double" w:color="auto" w:sz="4" w:space="0"/>
            </w:tcBorders>
            <w:vAlign w:val="center"/>
          </w:tcPr>
          <w:p>
            <w:pPr>
              <w:tabs>
                <w:tab w:val="left" w:pos="4320"/>
              </w:tabs>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cBorders>
              <w:left w:val="double" w:color="auto" w:sz="4" w:space="0"/>
            </w:tcBorders>
            <w:vAlign w:val="center"/>
          </w:tcPr>
          <w:p>
            <w:pPr>
              <w:tabs>
                <w:tab w:val="left" w:pos="4320"/>
              </w:tabs>
              <w:ind w:left="266" w:hanging="266" w:hangingChars="111"/>
              <w:rPr>
                <w:rFonts w:ascii="宋体" w:hAnsi="宋体" w:cs="宋体"/>
                <w:sz w:val="24"/>
              </w:rPr>
            </w:pPr>
            <w:r>
              <w:rPr>
                <w:rFonts w:hint="eastAsia" w:ascii="宋体" w:hAnsi="宋体" w:cs="宋体"/>
                <w:sz w:val="24"/>
              </w:rPr>
              <w:t>单位</w:t>
            </w:r>
          </w:p>
          <w:p>
            <w:pPr>
              <w:tabs>
                <w:tab w:val="left" w:pos="4320"/>
              </w:tabs>
              <w:ind w:left="266" w:hanging="266" w:hangingChars="111"/>
              <w:rPr>
                <w:rFonts w:ascii="宋体" w:hAnsi="宋体" w:cs="宋体"/>
                <w:sz w:val="24"/>
              </w:rPr>
            </w:pPr>
            <w:r>
              <w:rPr>
                <w:rFonts w:hint="eastAsia" w:ascii="宋体" w:hAnsi="宋体" w:cs="宋体"/>
                <w:sz w:val="24"/>
              </w:rPr>
              <w:t>概况</w:t>
            </w:r>
          </w:p>
        </w:tc>
        <w:tc>
          <w:tcPr>
            <w:tcW w:w="1276" w:type="dxa"/>
            <w:gridSpan w:val="2"/>
            <w:vAlign w:val="center"/>
          </w:tcPr>
          <w:p>
            <w:pPr>
              <w:tabs>
                <w:tab w:val="left" w:pos="4320"/>
              </w:tabs>
              <w:jc w:val="center"/>
              <w:rPr>
                <w:rFonts w:ascii="宋体" w:hAnsi="宋体" w:cs="宋体"/>
                <w:sz w:val="24"/>
              </w:rPr>
            </w:pPr>
            <w:r>
              <w:rPr>
                <w:rFonts w:hint="eastAsia" w:ascii="宋体" w:hAnsi="宋体" w:cs="宋体"/>
                <w:sz w:val="24"/>
              </w:rPr>
              <w:t>职工总数</w:t>
            </w:r>
          </w:p>
        </w:tc>
        <w:tc>
          <w:tcPr>
            <w:tcW w:w="1417" w:type="dxa"/>
            <w:gridSpan w:val="2"/>
            <w:vAlign w:val="center"/>
          </w:tcPr>
          <w:p>
            <w:pPr>
              <w:tabs>
                <w:tab w:val="left" w:pos="4320"/>
              </w:tabs>
              <w:jc w:val="right"/>
              <w:rPr>
                <w:rFonts w:ascii="宋体" w:hAnsi="宋体" w:cs="宋体"/>
                <w:sz w:val="24"/>
              </w:rPr>
            </w:pPr>
            <w:r>
              <w:rPr>
                <w:rFonts w:hint="eastAsia" w:ascii="宋体" w:hAnsi="宋体" w:cs="宋体"/>
                <w:sz w:val="24"/>
              </w:rPr>
              <w:t>人</w:t>
            </w:r>
          </w:p>
        </w:tc>
        <w:tc>
          <w:tcPr>
            <w:tcW w:w="567" w:type="dxa"/>
            <w:vMerge w:val="restart"/>
            <w:vAlign w:val="center"/>
          </w:tcPr>
          <w:p>
            <w:pPr>
              <w:tabs>
                <w:tab w:val="left" w:pos="4320"/>
              </w:tabs>
              <w:rPr>
                <w:rFonts w:ascii="宋体" w:hAnsi="宋体" w:cs="宋体"/>
                <w:sz w:val="24"/>
              </w:rPr>
            </w:pPr>
            <w:r>
              <w:rPr>
                <w:rFonts w:hint="eastAsia" w:ascii="宋体" w:hAnsi="宋体" w:cs="宋体"/>
                <w:sz w:val="24"/>
              </w:rPr>
              <w:t>上一年主要经济指标</w:t>
            </w:r>
          </w:p>
        </w:tc>
        <w:tc>
          <w:tcPr>
            <w:tcW w:w="946" w:type="dxa"/>
            <w:vAlign w:val="center"/>
          </w:tcPr>
          <w:p>
            <w:pPr>
              <w:tabs>
                <w:tab w:val="left" w:pos="4320"/>
              </w:tabs>
              <w:jc w:val="center"/>
              <w:rPr>
                <w:rFonts w:ascii="宋体" w:hAnsi="宋体" w:cs="宋体"/>
                <w:sz w:val="24"/>
              </w:rPr>
            </w:pPr>
            <w:r>
              <w:rPr>
                <w:rFonts w:hint="eastAsia" w:ascii="宋体" w:hAnsi="宋体" w:cs="宋体"/>
                <w:sz w:val="24"/>
              </w:rPr>
              <w:t>营业额</w:t>
            </w:r>
          </w:p>
        </w:tc>
        <w:tc>
          <w:tcPr>
            <w:tcW w:w="1414" w:type="dxa"/>
            <w:gridSpan w:val="2"/>
            <w:vAlign w:val="center"/>
          </w:tcPr>
          <w:p>
            <w:pPr>
              <w:tabs>
                <w:tab w:val="left" w:pos="4320"/>
              </w:tabs>
              <w:rPr>
                <w:rFonts w:ascii="宋体" w:hAnsi="宋体" w:cs="宋体"/>
                <w:sz w:val="24"/>
              </w:rPr>
            </w:pPr>
          </w:p>
        </w:tc>
        <w:tc>
          <w:tcPr>
            <w:tcW w:w="1184" w:type="dxa"/>
            <w:gridSpan w:val="2"/>
            <w:vAlign w:val="center"/>
          </w:tcPr>
          <w:p>
            <w:pPr>
              <w:tabs>
                <w:tab w:val="left" w:pos="4320"/>
              </w:tabs>
              <w:jc w:val="center"/>
              <w:rPr>
                <w:rFonts w:ascii="宋体" w:hAnsi="宋体" w:cs="宋体"/>
                <w:sz w:val="24"/>
              </w:rPr>
            </w:pPr>
            <w:r>
              <w:rPr>
                <w:rFonts w:hint="eastAsia" w:ascii="宋体" w:hAnsi="宋体" w:cs="宋体"/>
                <w:sz w:val="24"/>
              </w:rPr>
              <w:t>实现利润</w:t>
            </w:r>
          </w:p>
        </w:tc>
        <w:tc>
          <w:tcPr>
            <w:tcW w:w="1544" w:type="dxa"/>
            <w:tcBorders>
              <w:right w:val="double" w:color="auto" w:sz="4" w:space="0"/>
            </w:tcBorders>
            <w:vAlign w:val="center"/>
          </w:tcPr>
          <w:p>
            <w:pPr>
              <w:tabs>
                <w:tab w:val="left" w:pos="4320"/>
              </w:tabs>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left w:val="double" w:color="auto" w:sz="4" w:space="0"/>
            </w:tcBorders>
            <w:vAlign w:val="center"/>
          </w:tcPr>
          <w:p>
            <w:pPr>
              <w:tabs>
                <w:tab w:val="left" w:pos="4320"/>
              </w:tabs>
              <w:ind w:left="266" w:hanging="266" w:hangingChars="111"/>
              <w:rPr>
                <w:rFonts w:ascii="宋体" w:hAnsi="宋体" w:cs="宋体"/>
                <w:sz w:val="24"/>
              </w:rPr>
            </w:pPr>
          </w:p>
        </w:tc>
        <w:tc>
          <w:tcPr>
            <w:tcW w:w="1276" w:type="dxa"/>
            <w:gridSpan w:val="2"/>
            <w:vAlign w:val="center"/>
          </w:tcPr>
          <w:p>
            <w:pPr>
              <w:tabs>
                <w:tab w:val="left" w:pos="4320"/>
              </w:tabs>
              <w:jc w:val="center"/>
              <w:rPr>
                <w:rFonts w:ascii="宋体" w:hAnsi="宋体" w:cs="宋体"/>
                <w:sz w:val="24"/>
              </w:rPr>
            </w:pPr>
            <w:r>
              <w:rPr>
                <w:rFonts w:hint="eastAsia" w:ascii="宋体" w:hAnsi="宋体" w:cs="宋体"/>
                <w:sz w:val="24"/>
              </w:rPr>
              <w:t>流动资金</w:t>
            </w:r>
          </w:p>
        </w:tc>
        <w:tc>
          <w:tcPr>
            <w:tcW w:w="1417" w:type="dxa"/>
            <w:gridSpan w:val="2"/>
            <w:vAlign w:val="center"/>
          </w:tcPr>
          <w:p>
            <w:pPr>
              <w:tabs>
                <w:tab w:val="left" w:pos="4320"/>
              </w:tabs>
              <w:jc w:val="right"/>
              <w:rPr>
                <w:rFonts w:ascii="宋体" w:hAnsi="宋体" w:cs="宋体"/>
                <w:sz w:val="24"/>
              </w:rPr>
            </w:pPr>
            <w:r>
              <w:rPr>
                <w:rFonts w:hint="eastAsia" w:ascii="宋体" w:hAnsi="宋体" w:cs="宋体"/>
                <w:sz w:val="24"/>
              </w:rPr>
              <w:t>万元</w:t>
            </w:r>
          </w:p>
        </w:tc>
        <w:tc>
          <w:tcPr>
            <w:tcW w:w="567" w:type="dxa"/>
            <w:vMerge w:val="continue"/>
            <w:vAlign w:val="center"/>
          </w:tcPr>
          <w:p>
            <w:pPr>
              <w:tabs>
                <w:tab w:val="left" w:pos="4320"/>
              </w:tabs>
              <w:rPr>
                <w:rFonts w:ascii="宋体" w:hAnsi="宋体" w:cs="宋体"/>
                <w:sz w:val="24"/>
              </w:rPr>
            </w:pPr>
          </w:p>
        </w:tc>
        <w:tc>
          <w:tcPr>
            <w:tcW w:w="946" w:type="dxa"/>
            <w:vMerge w:val="restart"/>
            <w:vAlign w:val="center"/>
          </w:tcPr>
          <w:p>
            <w:pPr>
              <w:tabs>
                <w:tab w:val="left" w:pos="4320"/>
              </w:tabs>
              <w:jc w:val="center"/>
              <w:rPr>
                <w:rFonts w:ascii="宋体" w:hAnsi="宋体" w:cs="宋体"/>
                <w:sz w:val="24"/>
              </w:rPr>
            </w:pPr>
            <w:r>
              <w:rPr>
                <w:rFonts w:hint="eastAsia" w:ascii="宋体" w:hAnsi="宋体" w:cs="宋体"/>
                <w:sz w:val="24"/>
              </w:rPr>
              <w:t>主要</w:t>
            </w:r>
          </w:p>
          <w:p>
            <w:pPr>
              <w:tabs>
                <w:tab w:val="left" w:pos="4320"/>
              </w:tabs>
              <w:jc w:val="center"/>
              <w:rPr>
                <w:rFonts w:ascii="宋体" w:hAnsi="宋体" w:cs="宋体"/>
                <w:sz w:val="24"/>
              </w:rPr>
            </w:pPr>
            <w:r>
              <w:rPr>
                <w:rFonts w:hint="eastAsia" w:ascii="宋体" w:hAnsi="宋体" w:cs="宋体"/>
                <w:sz w:val="24"/>
              </w:rPr>
              <w:t>产品</w:t>
            </w:r>
          </w:p>
        </w:tc>
        <w:tc>
          <w:tcPr>
            <w:tcW w:w="4142" w:type="dxa"/>
            <w:gridSpan w:val="5"/>
            <w:tcBorders>
              <w:right w:val="double" w:color="auto" w:sz="4" w:space="0"/>
            </w:tcBorders>
            <w:vAlign w:val="center"/>
          </w:tcPr>
          <w:p>
            <w:pPr>
              <w:tabs>
                <w:tab w:val="left" w:pos="4320"/>
              </w:tabs>
              <w:spacing w:before="120" w:after="120"/>
              <w:rPr>
                <w:rFonts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817" w:type="dxa"/>
            <w:vMerge w:val="continue"/>
            <w:tcBorders>
              <w:left w:val="double" w:color="auto" w:sz="4" w:space="0"/>
            </w:tcBorders>
            <w:vAlign w:val="center"/>
          </w:tcPr>
          <w:p>
            <w:pPr>
              <w:tabs>
                <w:tab w:val="left" w:pos="4320"/>
              </w:tabs>
              <w:ind w:left="266" w:hanging="266" w:hangingChars="111"/>
              <w:rPr>
                <w:rFonts w:ascii="宋体" w:hAnsi="宋体" w:cs="宋体"/>
                <w:sz w:val="24"/>
              </w:rPr>
            </w:pPr>
          </w:p>
        </w:tc>
        <w:tc>
          <w:tcPr>
            <w:tcW w:w="1276" w:type="dxa"/>
            <w:gridSpan w:val="2"/>
            <w:vAlign w:val="center"/>
          </w:tcPr>
          <w:p>
            <w:pPr>
              <w:tabs>
                <w:tab w:val="left" w:pos="4320"/>
              </w:tabs>
              <w:jc w:val="center"/>
              <w:rPr>
                <w:rFonts w:ascii="宋体" w:hAnsi="宋体" w:cs="宋体"/>
                <w:sz w:val="24"/>
              </w:rPr>
            </w:pPr>
            <w:r>
              <w:rPr>
                <w:rFonts w:hint="eastAsia" w:ascii="宋体" w:hAnsi="宋体" w:cs="宋体"/>
                <w:sz w:val="24"/>
              </w:rPr>
              <w:t>固定资产</w:t>
            </w:r>
          </w:p>
          <w:p>
            <w:pPr>
              <w:tabs>
                <w:tab w:val="left" w:pos="4320"/>
              </w:tabs>
              <w:jc w:val="center"/>
              <w:rPr>
                <w:rFonts w:ascii="宋体" w:hAnsi="宋体" w:cs="宋体"/>
                <w:sz w:val="24"/>
              </w:rPr>
            </w:pPr>
            <w:r>
              <w:rPr>
                <w:rFonts w:hint="eastAsia" w:ascii="宋体" w:hAnsi="宋体" w:cs="宋体"/>
                <w:sz w:val="24"/>
              </w:rPr>
              <w:t>（万元）</w:t>
            </w:r>
          </w:p>
        </w:tc>
        <w:tc>
          <w:tcPr>
            <w:tcW w:w="1417" w:type="dxa"/>
            <w:gridSpan w:val="2"/>
            <w:vAlign w:val="center"/>
          </w:tcPr>
          <w:p>
            <w:pPr>
              <w:tabs>
                <w:tab w:val="left" w:pos="-48"/>
                <w:tab w:val="left" w:pos="4320"/>
              </w:tabs>
              <w:ind w:right="-133" w:hanging="48"/>
              <w:rPr>
                <w:rFonts w:ascii="宋体" w:hAnsi="宋体" w:cs="宋体"/>
                <w:sz w:val="24"/>
              </w:rPr>
            </w:pPr>
            <w:r>
              <w:rPr>
                <w:rFonts w:hint="eastAsia" w:ascii="宋体" w:hAnsi="宋体" w:cs="宋体"/>
                <w:sz w:val="24"/>
              </w:rPr>
              <w:t>原值：</w:t>
            </w:r>
          </w:p>
          <w:p>
            <w:pPr>
              <w:tabs>
                <w:tab w:val="left" w:pos="-48"/>
                <w:tab w:val="left" w:pos="4320"/>
              </w:tabs>
              <w:ind w:hanging="48"/>
              <w:jc w:val="right"/>
              <w:rPr>
                <w:rFonts w:ascii="宋体" w:hAnsi="宋体" w:cs="宋体"/>
                <w:sz w:val="24"/>
              </w:rPr>
            </w:pPr>
          </w:p>
          <w:p>
            <w:pPr>
              <w:tabs>
                <w:tab w:val="left" w:pos="-48"/>
                <w:tab w:val="left" w:pos="4320"/>
              </w:tabs>
              <w:ind w:right="-133" w:hanging="48"/>
              <w:rPr>
                <w:rFonts w:ascii="宋体" w:hAnsi="宋体" w:cs="宋体"/>
                <w:sz w:val="24"/>
              </w:rPr>
            </w:pPr>
            <w:r>
              <w:rPr>
                <w:rFonts w:hint="eastAsia" w:ascii="宋体" w:hAnsi="宋体" w:cs="宋体"/>
                <w:sz w:val="24"/>
              </w:rPr>
              <w:t>净值：</w:t>
            </w:r>
          </w:p>
          <w:p>
            <w:pPr>
              <w:tabs>
                <w:tab w:val="left" w:pos="-48"/>
                <w:tab w:val="left" w:pos="4320"/>
              </w:tabs>
              <w:ind w:hanging="48"/>
              <w:jc w:val="right"/>
              <w:rPr>
                <w:rFonts w:ascii="宋体" w:hAnsi="宋体" w:cs="宋体"/>
                <w:sz w:val="24"/>
              </w:rPr>
            </w:pPr>
          </w:p>
        </w:tc>
        <w:tc>
          <w:tcPr>
            <w:tcW w:w="567" w:type="dxa"/>
            <w:vMerge w:val="continue"/>
            <w:vAlign w:val="center"/>
          </w:tcPr>
          <w:p>
            <w:pPr>
              <w:tabs>
                <w:tab w:val="left" w:pos="4320"/>
              </w:tabs>
              <w:rPr>
                <w:rFonts w:ascii="宋体" w:hAnsi="宋体" w:cs="宋体"/>
                <w:sz w:val="24"/>
              </w:rPr>
            </w:pPr>
          </w:p>
        </w:tc>
        <w:tc>
          <w:tcPr>
            <w:tcW w:w="946" w:type="dxa"/>
            <w:vMerge w:val="continue"/>
            <w:vAlign w:val="center"/>
          </w:tcPr>
          <w:p>
            <w:pPr>
              <w:tabs>
                <w:tab w:val="left" w:pos="4320"/>
              </w:tabs>
              <w:jc w:val="center"/>
              <w:rPr>
                <w:rFonts w:ascii="宋体" w:hAnsi="宋体" w:cs="宋体"/>
                <w:sz w:val="24"/>
              </w:rPr>
            </w:pPr>
          </w:p>
        </w:tc>
        <w:tc>
          <w:tcPr>
            <w:tcW w:w="4142" w:type="dxa"/>
            <w:gridSpan w:val="5"/>
            <w:tcBorders>
              <w:right w:val="double" w:color="auto" w:sz="4" w:space="0"/>
            </w:tcBorders>
            <w:vAlign w:val="center"/>
          </w:tcPr>
          <w:p>
            <w:pPr>
              <w:tabs>
                <w:tab w:val="left" w:pos="4320"/>
              </w:tabs>
              <w:rPr>
                <w:rFonts w:ascii="宋体" w:hAnsi="宋体" w:cs="宋体"/>
                <w:sz w:val="24"/>
              </w:rPr>
            </w:pPr>
            <w:r>
              <w:rPr>
                <w:rFonts w:hint="eastAsia" w:ascii="宋体" w:hAnsi="宋体" w:cs="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left w:val="double" w:color="auto" w:sz="4" w:space="0"/>
            </w:tcBorders>
            <w:vAlign w:val="center"/>
          </w:tcPr>
          <w:p>
            <w:pPr>
              <w:tabs>
                <w:tab w:val="left" w:pos="4320"/>
              </w:tabs>
              <w:ind w:left="266" w:hanging="266" w:hangingChars="111"/>
              <w:rPr>
                <w:rFonts w:ascii="宋体" w:hAnsi="宋体" w:cs="宋体"/>
                <w:sz w:val="24"/>
              </w:rPr>
            </w:pPr>
          </w:p>
        </w:tc>
        <w:tc>
          <w:tcPr>
            <w:tcW w:w="1276" w:type="dxa"/>
            <w:gridSpan w:val="2"/>
            <w:vAlign w:val="center"/>
          </w:tcPr>
          <w:p>
            <w:pPr>
              <w:tabs>
                <w:tab w:val="left" w:pos="4320"/>
              </w:tabs>
              <w:jc w:val="center"/>
              <w:rPr>
                <w:rFonts w:ascii="宋体" w:hAnsi="宋体" w:cs="宋体"/>
                <w:sz w:val="24"/>
              </w:rPr>
            </w:pPr>
            <w:r>
              <w:rPr>
                <w:rFonts w:hint="eastAsia" w:ascii="宋体" w:hAnsi="宋体" w:cs="宋体"/>
                <w:sz w:val="24"/>
              </w:rPr>
              <w:t>占地面积</w:t>
            </w:r>
          </w:p>
        </w:tc>
        <w:tc>
          <w:tcPr>
            <w:tcW w:w="1417" w:type="dxa"/>
            <w:gridSpan w:val="2"/>
            <w:vAlign w:val="center"/>
          </w:tcPr>
          <w:p>
            <w:pPr>
              <w:tabs>
                <w:tab w:val="left" w:pos="4320"/>
              </w:tabs>
              <w:jc w:val="right"/>
              <w:rPr>
                <w:rFonts w:ascii="宋体" w:hAnsi="宋体" w:cs="宋体"/>
                <w:sz w:val="24"/>
              </w:rPr>
            </w:pPr>
            <w:r>
              <w:rPr>
                <w:rFonts w:hint="eastAsia" w:ascii="宋体" w:hAnsi="宋体" w:cs="宋体"/>
                <w:sz w:val="24"/>
              </w:rPr>
              <w:t>M</w:t>
            </w:r>
            <w:r>
              <w:rPr>
                <w:rFonts w:hint="eastAsia" w:ascii="宋体" w:hAnsi="宋体" w:cs="宋体"/>
                <w:sz w:val="24"/>
                <w:vertAlign w:val="superscript"/>
              </w:rPr>
              <w:t>2</w:t>
            </w:r>
          </w:p>
        </w:tc>
        <w:tc>
          <w:tcPr>
            <w:tcW w:w="567" w:type="dxa"/>
            <w:vMerge w:val="continue"/>
            <w:vAlign w:val="center"/>
          </w:tcPr>
          <w:p>
            <w:pPr>
              <w:tabs>
                <w:tab w:val="left" w:pos="4320"/>
              </w:tabs>
              <w:rPr>
                <w:rFonts w:ascii="宋体" w:hAnsi="宋体" w:cs="宋体"/>
                <w:sz w:val="24"/>
              </w:rPr>
            </w:pPr>
          </w:p>
        </w:tc>
        <w:tc>
          <w:tcPr>
            <w:tcW w:w="946" w:type="dxa"/>
            <w:vMerge w:val="continue"/>
            <w:vAlign w:val="center"/>
          </w:tcPr>
          <w:p>
            <w:pPr>
              <w:tabs>
                <w:tab w:val="left" w:pos="4320"/>
              </w:tabs>
              <w:jc w:val="center"/>
              <w:rPr>
                <w:rFonts w:ascii="宋体" w:hAnsi="宋体" w:cs="宋体"/>
                <w:sz w:val="24"/>
              </w:rPr>
            </w:pPr>
          </w:p>
        </w:tc>
        <w:tc>
          <w:tcPr>
            <w:tcW w:w="4142" w:type="dxa"/>
            <w:gridSpan w:val="5"/>
            <w:tcBorders>
              <w:right w:val="double" w:color="auto" w:sz="4" w:space="0"/>
            </w:tcBorders>
            <w:vAlign w:val="center"/>
          </w:tcPr>
          <w:p>
            <w:pPr>
              <w:tabs>
                <w:tab w:val="left" w:pos="4320"/>
              </w:tabs>
              <w:spacing w:before="120" w:after="120"/>
              <w:rPr>
                <w:rFonts w:ascii="宋体" w:hAnsi="宋体" w:cs="宋体"/>
                <w:sz w:val="24"/>
              </w:rPr>
            </w:pPr>
            <w:r>
              <w:rPr>
                <w:rFonts w:hint="eastAsia" w:ascii="宋体" w:hAnsi="宋体" w:cs="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cBorders>
              <w:left w:val="double" w:color="auto" w:sz="4" w:space="0"/>
            </w:tcBorders>
            <w:vAlign w:val="center"/>
          </w:tcPr>
          <w:p>
            <w:pPr>
              <w:tabs>
                <w:tab w:val="left" w:pos="4320"/>
              </w:tabs>
              <w:ind w:left="266" w:hanging="266" w:hangingChars="111"/>
              <w:rPr>
                <w:rFonts w:ascii="宋体" w:hAnsi="宋体" w:cs="宋体"/>
                <w:sz w:val="24"/>
              </w:rPr>
            </w:pPr>
            <w:r>
              <w:rPr>
                <w:rFonts w:hint="eastAsia" w:ascii="宋体" w:hAnsi="宋体" w:cs="宋体"/>
                <w:sz w:val="24"/>
              </w:rPr>
              <w:t>本次</w:t>
            </w:r>
          </w:p>
          <w:p>
            <w:pPr>
              <w:tabs>
                <w:tab w:val="left" w:pos="4320"/>
              </w:tabs>
              <w:ind w:left="266" w:hanging="266" w:hangingChars="111"/>
              <w:rPr>
                <w:rFonts w:ascii="宋体" w:hAnsi="宋体" w:cs="宋体"/>
                <w:sz w:val="24"/>
              </w:rPr>
            </w:pPr>
            <w:r>
              <w:rPr>
                <w:rFonts w:hint="eastAsia" w:ascii="宋体" w:hAnsi="宋体" w:cs="宋体"/>
                <w:sz w:val="24"/>
              </w:rPr>
              <w:t>投标</w:t>
            </w:r>
          </w:p>
          <w:p>
            <w:pPr>
              <w:tabs>
                <w:tab w:val="left" w:pos="4320"/>
              </w:tabs>
              <w:ind w:left="266" w:hanging="266" w:hangingChars="111"/>
              <w:rPr>
                <w:rFonts w:ascii="宋体" w:hAnsi="宋体" w:cs="宋体"/>
                <w:sz w:val="24"/>
              </w:rPr>
            </w:pPr>
            <w:r>
              <w:rPr>
                <w:rFonts w:hint="eastAsia" w:ascii="宋体" w:hAnsi="宋体" w:cs="宋体"/>
                <w:sz w:val="24"/>
              </w:rPr>
              <w:t>产品</w:t>
            </w:r>
          </w:p>
          <w:p>
            <w:pPr>
              <w:tabs>
                <w:tab w:val="left" w:pos="4320"/>
              </w:tabs>
              <w:ind w:left="266" w:hanging="266" w:hangingChars="111"/>
              <w:rPr>
                <w:rFonts w:ascii="宋体" w:hAnsi="宋体" w:cs="宋体"/>
                <w:sz w:val="24"/>
              </w:rPr>
            </w:pPr>
            <w:r>
              <w:rPr>
                <w:rFonts w:hint="eastAsia" w:ascii="宋体" w:hAnsi="宋体" w:cs="宋体"/>
                <w:sz w:val="24"/>
              </w:rPr>
              <w:t>情况</w:t>
            </w:r>
          </w:p>
        </w:tc>
        <w:tc>
          <w:tcPr>
            <w:tcW w:w="1643" w:type="dxa"/>
            <w:gridSpan w:val="3"/>
            <w:vAlign w:val="center"/>
          </w:tcPr>
          <w:p>
            <w:pPr>
              <w:tabs>
                <w:tab w:val="left" w:pos="4320"/>
              </w:tabs>
              <w:spacing w:before="60" w:after="60"/>
              <w:jc w:val="center"/>
              <w:rPr>
                <w:rFonts w:ascii="宋体" w:hAnsi="宋体" w:cs="宋体"/>
                <w:sz w:val="24"/>
              </w:rPr>
            </w:pPr>
            <w:r>
              <w:rPr>
                <w:rFonts w:hint="eastAsia" w:ascii="宋体" w:hAnsi="宋体" w:cs="宋体"/>
                <w:sz w:val="24"/>
              </w:rPr>
              <w:t>本次投标</w:t>
            </w:r>
            <w:r>
              <w:rPr>
                <w:rFonts w:hint="eastAsia" w:ascii="宋体" w:hAnsi="宋体" w:cs="宋体"/>
                <w:sz w:val="24"/>
              </w:rPr>
              <w:br w:type="textWrapping"/>
            </w:r>
            <w:r>
              <w:rPr>
                <w:rFonts w:hint="eastAsia" w:ascii="宋体" w:hAnsi="宋体" w:cs="宋体"/>
                <w:sz w:val="24"/>
              </w:rPr>
              <w:t>产品名称</w:t>
            </w:r>
          </w:p>
        </w:tc>
        <w:tc>
          <w:tcPr>
            <w:tcW w:w="1617" w:type="dxa"/>
            <w:gridSpan w:val="2"/>
            <w:vAlign w:val="center"/>
          </w:tcPr>
          <w:p>
            <w:pPr>
              <w:tabs>
                <w:tab w:val="left" w:pos="4320"/>
              </w:tabs>
              <w:spacing w:before="60" w:after="60"/>
              <w:jc w:val="center"/>
              <w:rPr>
                <w:rFonts w:ascii="宋体" w:hAnsi="宋体" w:cs="宋体"/>
                <w:sz w:val="24"/>
              </w:rPr>
            </w:pPr>
            <w:r>
              <w:rPr>
                <w:rFonts w:hint="eastAsia" w:ascii="宋体" w:hAnsi="宋体" w:cs="宋体"/>
                <w:sz w:val="24"/>
              </w:rPr>
              <w:t>型    号</w:t>
            </w:r>
          </w:p>
        </w:tc>
        <w:tc>
          <w:tcPr>
            <w:tcW w:w="946" w:type="dxa"/>
            <w:vAlign w:val="center"/>
          </w:tcPr>
          <w:p>
            <w:pPr>
              <w:tabs>
                <w:tab w:val="left" w:pos="4320"/>
              </w:tabs>
              <w:spacing w:before="60" w:after="60"/>
              <w:jc w:val="center"/>
              <w:rPr>
                <w:rFonts w:ascii="宋体" w:hAnsi="宋体" w:cs="宋体"/>
                <w:sz w:val="24"/>
              </w:rPr>
            </w:pPr>
            <w:r>
              <w:rPr>
                <w:rFonts w:hint="eastAsia" w:ascii="宋体" w:hAnsi="宋体" w:cs="宋体"/>
                <w:sz w:val="24"/>
              </w:rPr>
              <w:t>上年</w:t>
            </w:r>
            <w:r>
              <w:rPr>
                <w:rFonts w:hint="eastAsia" w:ascii="宋体" w:hAnsi="宋体" w:cs="宋体"/>
                <w:sz w:val="24"/>
              </w:rPr>
              <w:br w:type="textWrapping"/>
            </w:r>
            <w:r>
              <w:rPr>
                <w:rFonts w:hint="eastAsia" w:ascii="宋体" w:hAnsi="宋体" w:cs="宋体"/>
                <w:sz w:val="24"/>
              </w:rPr>
              <w:t>产销量</w:t>
            </w:r>
          </w:p>
        </w:tc>
        <w:tc>
          <w:tcPr>
            <w:tcW w:w="1263" w:type="dxa"/>
            <w:vAlign w:val="center"/>
          </w:tcPr>
          <w:p>
            <w:pPr>
              <w:tabs>
                <w:tab w:val="left" w:pos="4320"/>
              </w:tabs>
              <w:spacing w:before="60" w:after="60"/>
              <w:jc w:val="center"/>
              <w:rPr>
                <w:rFonts w:ascii="宋体" w:hAnsi="宋体" w:cs="宋体"/>
                <w:sz w:val="24"/>
              </w:rPr>
            </w:pPr>
            <w:r>
              <w:rPr>
                <w:rFonts w:hint="eastAsia" w:ascii="宋体" w:hAnsi="宋体" w:cs="宋体"/>
                <w:sz w:val="24"/>
              </w:rPr>
              <w:t>产品技术</w:t>
            </w:r>
          </w:p>
          <w:p>
            <w:pPr>
              <w:tabs>
                <w:tab w:val="left" w:pos="4320"/>
              </w:tabs>
              <w:spacing w:before="60" w:after="60"/>
              <w:jc w:val="center"/>
              <w:rPr>
                <w:rFonts w:ascii="宋体" w:hAnsi="宋体" w:cs="宋体"/>
                <w:sz w:val="24"/>
              </w:rPr>
            </w:pPr>
            <w:r>
              <w:rPr>
                <w:rFonts w:hint="eastAsia" w:ascii="宋体" w:hAnsi="宋体" w:cs="宋体"/>
                <w:sz w:val="24"/>
              </w:rPr>
              <w:t>先进水平</w:t>
            </w:r>
          </w:p>
        </w:tc>
        <w:tc>
          <w:tcPr>
            <w:tcW w:w="1273" w:type="dxa"/>
            <w:gridSpan w:val="2"/>
            <w:vAlign w:val="center"/>
          </w:tcPr>
          <w:p>
            <w:pPr>
              <w:tabs>
                <w:tab w:val="left" w:pos="4320"/>
              </w:tabs>
              <w:spacing w:before="60" w:after="60"/>
              <w:jc w:val="center"/>
              <w:rPr>
                <w:rFonts w:ascii="宋体" w:hAnsi="宋体" w:cs="宋体"/>
                <w:sz w:val="24"/>
              </w:rPr>
            </w:pPr>
            <w:r>
              <w:rPr>
                <w:rFonts w:hint="eastAsia" w:ascii="宋体" w:hAnsi="宋体" w:cs="宋体"/>
                <w:sz w:val="24"/>
              </w:rPr>
              <w:t>曾获何级</w:t>
            </w:r>
          </w:p>
          <w:p>
            <w:pPr>
              <w:tabs>
                <w:tab w:val="left" w:pos="4320"/>
              </w:tabs>
              <w:spacing w:before="60" w:after="60"/>
              <w:jc w:val="center"/>
              <w:rPr>
                <w:rFonts w:ascii="宋体" w:hAnsi="宋体" w:cs="宋体"/>
                <w:sz w:val="24"/>
              </w:rPr>
            </w:pPr>
            <w:r>
              <w:rPr>
                <w:rFonts w:hint="eastAsia" w:ascii="宋体" w:hAnsi="宋体" w:cs="宋体"/>
                <w:sz w:val="24"/>
              </w:rPr>
              <w:t>何种奖励</w:t>
            </w:r>
          </w:p>
        </w:tc>
        <w:tc>
          <w:tcPr>
            <w:tcW w:w="1606" w:type="dxa"/>
            <w:gridSpan w:val="2"/>
            <w:tcBorders>
              <w:right w:val="double" w:color="auto" w:sz="4" w:space="0"/>
            </w:tcBorders>
            <w:vAlign w:val="center"/>
          </w:tcPr>
          <w:p>
            <w:pPr>
              <w:tabs>
                <w:tab w:val="left" w:pos="4320"/>
              </w:tabs>
              <w:spacing w:before="60" w:after="60"/>
              <w:jc w:val="center"/>
              <w:rPr>
                <w:rFonts w:ascii="宋体" w:hAnsi="宋体" w:cs="宋体"/>
                <w:sz w:val="24"/>
              </w:rPr>
            </w:pPr>
            <w:r>
              <w:rPr>
                <w:rFonts w:hint="eastAsia" w:ascii="宋体" w:hAnsi="宋体" w:cs="宋体"/>
                <w:sz w:val="24"/>
              </w:rPr>
              <w:t>主要用户</w:t>
            </w:r>
            <w:r>
              <w:rPr>
                <w:rFonts w:hint="eastAsia" w:ascii="宋体" w:hAnsi="宋体" w:cs="宋体"/>
                <w:sz w:val="24"/>
              </w:rPr>
              <w:br w:type="textWrapping"/>
            </w:r>
            <w:r>
              <w:rPr>
                <w:rFonts w:hint="eastAsia" w:ascii="宋体" w:hAnsi="宋体" w:cs="宋体"/>
                <w:sz w:val="24"/>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left w:val="double" w:color="auto" w:sz="4" w:space="0"/>
            </w:tcBorders>
            <w:vAlign w:val="center"/>
          </w:tcPr>
          <w:p>
            <w:pPr>
              <w:tabs>
                <w:tab w:val="left" w:pos="4320"/>
              </w:tabs>
              <w:rPr>
                <w:rFonts w:ascii="宋体" w:hAnsi="宋体" w:cs="宋体"/>
                <w:sz w:val="24"/>
              </w:rPr>
            </w:pPr>
          </w:p>
        </w:tc>
        <w:tc>
          <w:tcPr>
            <w:tcW w:w="1643" w:type="dxa"/>
            <w:gridSpan w:val="3"/>
            <w:vAlign w:val="center"/>
          </w:tcPr>
          <w:p>
            <w:pPr>
              <w:tabs>
                <w:tab w:val="left" w:pos="4320"/>
              </w:tabs>
              <w:rPr>
                <w:rFonts w:ascii="宋体" w:hAnsi="宋体" w:cs="宋体"/>
                <w:sz w:val="24"/>
              </w:rPr>
            </w:pPr>
          </w:p>
        </w:tc>
        <w:tc>
          <w:tcPr>
            <w:tcW w:w="1617" w:type="dxa"/>
            <w:gridSpan w:val="2"/>
            <w:vAlign w:val="center"/>
          </w:tcPr>
          <w:p>
            <w:pPr>
              <w:tabs>
                <w:tab w:val="left" w:pos="4320"/>
              </w:tabs>
              <w:rPr>
                <w:rFonts w:ascii="宋体" w:hAnsi="宋体" w:cs="宋体"/>
                <w:sz w:val="24"/>
              </w:rPr>
            </w:pPr>
          </w:p>
        </w:tc>
        <w:tc>
          <w:tcPr>
            <w:tcW w:w="946" w:type="dxa"/>
            <w:vAlign w:val="center"/>
          </w:tcPr>
          <w:p>
            <w:pPr>
              <w:tabs>
                <w:tab w:val="left" w:pos="4320"/>
              </w:tabs>
              <w:rPr>
                <w:rFonts w:ascii="宋体" w:hAnsi="宋体" w:cs="宋体"/>
                <w:sz w:val="24"/>
              </w:rPr>
            </w:pPr>
          </w:p>
        </w:tc>
        <w:tc>
          <w:tcPr>
            <w:tcW w:w="1263" w:type="dxa"/>
            <w:vAlign w:val="center"/>
          </w:tcPr>
          <w:p>
            <w:pPr>
              <w:tabs>
                <w:tab w:val="left" w:pos="4320"/>
              </w:tabs>
              <w:rPr>
                <w:rFonts w:ascii="宋体" w:hAnsi="宋体" w:cs="宋体"/>
                <w:sz w:val="24"/>
              </w:rPr>
            </w:pPr>
          </w:p>
        </w:tc>
        <w:tc>
          <w:tcPr>
            <w:tcW w:w="1273" w:type="dxa"/>
            <w:gridSpan w:val="2"/>
            <w:vAlign w:val="center"/>
          </w:tcPr>
          <w:p>
            <w:pPr>
              <w:tabs>
                <w:tab w:val="left" w:pos="4320"/>
              </w:tabs>
              <w:rPr>
                <w:rFonts w:ascii="宋体" w:hAnsi="宋体" w:cs="宋体"/>
                <w:sz w:val="24"/>
              </w:rPr>
            </w:pPr>
          </w:p>
        </w:tc>
        <w:tc>
          <w:tcPr>
            <w:tcW w:w="1606" w:type="dxa"/>
            <w:gridSpan w:val="2"/>
            <w:tcBorders>
              <w:right w:val="double" w:color="auto" w:sz="4" w:space="0"/>
            </w:tcBorders>
            <w:vAlign w:val="center"/>
          </w:tcPr>
          <w:p>
            <w:pPr>
              <w:tabs>
                <w:tab w:val="left" w:pos="4320"/>
              </w:tabs>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left w:val="double" w:color="auto" w:sz="4" w:space="0"/>
            </w:tcBorders>
            <w:vAlign w:val="center"/>
          </w:tcPr>
          <w:p>
            <w:pPr>
              <w:tabs>
                <w:tab w:val="left" w:pos="4320"/>
              </w:tabs>
              <w:rPr>
                <w:rFonts w:ascii="宋体" w:hAnsi="宋体" w:cs="宋体"/>
                <w:sz w:val="24"/>
              </w:rPr>
            </w:pPr>
          </w:p>
        </w:tc>
        <w:tc>
          <w:tcPr>
            <w:tcW w:w="1643" w:type="dxa"/>
            <w:gridSpan w:val="3"/>
            <w:vAlign w:val="center"/>
          </w:tcPr>
          <w:p>
            <w:pPr>
              <w:tabs>
                <w:tab w:val="left" w:pos="4320"/>
              </w:tabs>
              <w:rPr>
                <w:rFonts w:ascii="宋体" w:hAnsi="宋体" w:cs="宋体"/>
                <w:sz w:val="24"/>
              </w:rPr>
            </w:pPr>
          </w:p>
        </w:tc>
        <w:tc>
          <w:tcPr>
            <w:tcW w:w="1617" w:type="dxa"/>
            <w:gridSpan w:val="2"/>
            <w:vAlign w:val="center"/>
          </w:tcPr>
          <w:p>
            <w:pPr>
              <w:tabs>
                <w:tab w:val="left" w:pos="4320"/>
              </w:tabs>
              <w:rPr>
                <w:rFonts w:ascii="宋体" w:hAnsi="宋体" w:cs="宋体"/>
                <w:sz w:val="24"/>
              </w:rPr>
            </w:pPr>
          </w:p>
        </w:tc>
        <w:tc>
          <w:tcPr>
            <w:tcW w:w="946" w:type="dxa"/>
            <w:vAlign w:val="center"/>
          </w:tcPr>
          <w:p>
            <w:pPr>
              <w:tabs>
                <w:tab w:val="left" w:pos="4320"/>
              </w:tabs>
              <w:rPr>
                <w:rFonts w:ascii="宋体" w:hAnsi="宋体" w:cs="宋体"/>
                <w:sz w:val="24"/>
              </w:rPr>
            </w:pPr>
          </w:p>
        </w:tc>
        <w:tc>
          <w:tcPr>
            <w:tcW w:w="1263" w:type="dxa"/>
            <w:vAlign w:val="center"/>
          </w:tcPr>
          <w:p>
            <w:pPr>
              <w:tabs>
                <w:tab w:val="left" w:pos="4320"/>
              </w:tabs>
              <w:rPr>
                <w:rFonts w:ascii="宋体" w:hAnsi="宋体" w:cs="宋体"/>
                <w:sz w:val="24"/>
              </w:rPr>
            </w:pPr>
          </w:p>
        </w:tc>
        <w:tc>
          <w:tcPr>
            <w:tcW w:w="1273" w:type="dxa"/>
            <w:gridSpan w:val="2"/>
            <w:vAlign w:val="center"/>
          </w:tcPr>
          <w:p>
            <w:pPr>
              <w:tabs>
                <w:tab w:val="left" w:pos="4320"/>
              </w:tabs>
              <w:rPr>
                <w:rFonts w:ascii="宋体" w:hAnsi="宋体" w:cs="宋体"/>
                <w:sz w:val="24"/>
              </w:rPr>
            </w:pPr>
          </w:p>
        </w:tc>
        <w:tc>
          <w:tcPr>
            <w:tcW w:w="1606" w:type="dxa"/>
            <w:gridSpan w:val="2"/>
            <w:tcBorders>
              <w:right w:val="double" w:color="auto" w:sz="4" w:space="0"/>
            </w:tcBorders>
            <w:vAlign w:val="center"/>
          </w:tcPr>
          <w:p>
            <w:pPr>
              <w:tabs>
                <w:tab w:val="left" w:pos="4320"/>
              </w:tabs>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left w:val="double" w:color="auto" w:sz="4" w:space="0"/>
            </w:tcBorders>
            <w:vAlign w:val="center"/>
          </w:tcPr>
          <w:p>
            <w:pPr>
              <w:tabs>
                <w:tab w:val="left" w:pos="4320"/>
              </w:tabs>
              <w:rPr>
                <w:rFonts w:ascii="宋体" w:hAnsi="宋体" w:cs="宋体"/>
                <w:sz w:val="24"/>
              </w:rPr>
            </w:pPr>
          </w:p>
        </w:tc>
        <w:tc>
          <w:tcPr>
            <w:tcW w:w="1643" w:type="dxa"/>
            <w:gridSpan w:val="3"/>
            <w:vAlign w:val="center"/>
          </w:tcPr>
          <w:p>
            <w:pPr>
              <w:tabs>
                <w:tab w:val="left" w:pos="4320"/>
              </w:tabs>
              <w:rPr>
                <w:rFonts w:ascii="宋体" w:hAnsi="宋体" w:cs="宋体"/>
                <w:sz w:val="24"/>
              </w:rPr>
            </w:pPr>
          </w:p>
        </w:tc>
        <w:tc>
          <w:tcPr>
            <w:tcW w:w="1617" w:type="dxa"/>
            <w:gridSpan w:val="2"/>
            <w:vAlign w:val="center"/>
          </w:tcPr>
          <w:p>
            <w:pPr>
              <w:tabs>
                <w:tab w:val="left" w:pos="4320"/>
              </w:tabs>
              <w:rPr>
                <w:rFonts w:ascii="宋体" w:hAnsi="宋体" w:cs="宋体"/>
                <w:sz w:val="24"/>
              </w:rPr>
            </w:pPr>
          </w:p>
        </w:tc>
        <w:tc>
          <w:tcPr>
            <w:tcW w:w="946" w:type="dxa"/>
            <w:vAlign w:val="center"/>
          </w:tcPr>
          <w:p>
            <w:pPr>
              <w:tabs>
                <w:tab w:val="left" w:pos="4320"/>
              </w:tabs>
              <w:rPr>
                <w:rFonts w:ascii="宋体" w:hAnsi="宋体" w:cs="宋体"/>
                <w:sz w:val="24"/>
              </w:rPr>
            </w:pPr>
          </w:p>
        </w:tc>
        <w:tc>
          <w:tcPr>
            <w:tcW w:w="1263" w:type="dxa"/>
            <w:vAlign w:val="center"/>
          </w:tcPr>
          <w:p>
            <w:pPr>
              <w:tabs>
                <w:tab w:val="left" w:pos="4320"/>
              </w:tabs>
              <w:rPr>
                <w:rFonts w:ascii="宋体" w:hAnsi="宋体" w:cs="宋体"/>
                <w:sz w:val="24"/>
              </w:rPr>
            </w:pPr>
          </w:p>
        </w:tc>
        <w:tc>
          <w:tcPr>
            <w:tcW w:w="1273" w:type="dxa"/>
            <w:gridSpan w:val="2"/>
            <w:vAlign w:val="center"/>
          </w:tcPr>
          <w:p>
            <w:pPr>
              <w:tabs>
                <w:tab w:val="left" w:pos="4320"/>
              </w:tabs>
              <w:rPr>
                <w:rFonts w:ascii="宋体" w:hAnsi="宋体" w:cs="宋体"/>
                <w:sz w:val="24"/>
              </w:rPr>
            </w:pPr>
          </w:p>
        </w:tc>
        <w:tc>
          <w:tcPr>
            <w:tcW w:w="1606" w:type="dxa"/>
            <w:gridSpan w:val="2"/>
            <w:tcBorders>
              <w:right w:val="double" w:color="auto" w:sz="4" w:space="0"/>
            </w:tcBorders>
            <w:vAlign w:val="center"/>
          </w:tcPr>
          <w:p>
            <w:pPr>
              <w:tabs>
                <w:tab w:val="left" w:pos="4320"/>
              </w:tabs>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left w:val="double" w:color="auto" w:sz="4" w:space="0"/>
            </w:tcBorders>
            <w:vAlign w:val="center"/>
          </w:tcPr>
          <w:p>
            <w:pPr>
              <w:tabs>
                <w:tab w:val="left" w:pos="4320"/>
              </w:tabs>
              <w:rPr>
                <w:rFonts w:ascii="宋体" w:hAnsi="宋体" w:cs="宋体"/>
                <w:sz w:val="24"/>
              </w:rPr>
            </w:pPr>
          </w:p>
        </w:tc>
        <w:tc>
          <w:tcPr>
            <w:tcW w:w="1643" w:type="dxa"/>
            <w:gridSpan w:val="3"/>
            <w:vAlign w:val="center"/>
          </w:tcPr>
          <w:p>
            <w:pPr>
              <w:tabs>
                <w:tab w:val="left" w:pos="4320"/>
              </w:tabs>
              <w:rPr>
                <w:rFonts w:ascii="宋体" w:hAnsi="宋体" w:cs="宋体"/>
                <w:sz w:val="24"/>
              </w:rPr>
            </w:pPr>
          </w:p>
        </w:tc>
        <w:tc>
          <w:tcPr>
            <w:tcW w:w="1617" w:type="dxa"/>
            <w:gridSpan w:val="2"/>
            <w:vAlign w:val="center"/>
          </w:tcPr>
          <w:p>
            <w:pPr>
              <w:tabs>
                <w:tab w:val="left" w:pos="4320"/>
              </w:tabs>
              <w:rPr>
                <w:rFonts w:ascii="宋体" w:hAnsi="宋体" w:cs="宋体"/>
                <w:sz w:val="24"/>
              </w:rPr>
            </w:pPr>
          </w:p>
        </w:tc>
        <w:tc>
          <w:tcPr>
            <w:tcW w:w="946" w:type="dxa"/>
            <w:vAlign w:val="center"/>
          </w:tcPr>
          <w:p>
            <w:pPr>
              <w:tabs>
                <w:tab w:val="left" w:pos="4320"/>
              </w:tabs>
              <w:rPr>
                <w:rFonts w:ascii="宋体" w:hAnsi="宋体" w:cs="宋体"/>
                <w:sz w:val="24"/>
              </w:rPr>
            </w:pPr>
          </w:p>
        </w:tc>
        <w:tc>
          <w:tcPr>
            <w:tcW w:w="1263" w:type="dxa"/>
            <w:vAlign w:val="center"/>
          </w:tcPr>
          <w:p>
            <w:pPr>
              <w:tabs>
                <w:tab w:val="left" w:pos="4320"/>
              </w:tabs>
              <w:rPr>
                <w:rFonts w:ascii="宋体" w:hAnsi="宋体" w:cs="宋体"/>
                <w:sz w:val="24"/>
              </w:rPr>
            </w:pPr>
          </w:p>
        </w:tc>
        <w:tc>
          <w:tcPr>
            <w:tcW w:w="1273" w:type="dxa"/>
            <w:gridSpan w:val="2"/>
            <w:vAlign w:val="center"/>
          </w:tcPr>
          <w:p>
            <w:pPr>
              <w:tabs>
                <w:tab w:val="left" w:pos="4320"/>
              </w:tabs>
              <w:rPr>
                <w:rFonts w:ascii="宋体" w:hAnsi="宋体" w:cs="宋体"/>
                <w:sz w:val="24"/>
              </w:rPr>
            </w:pPr>
          </w:p>
        </w:tc>
        <w:tc>
          <w:tcPr>
            <w:tcW w:w="1606" w:type="dxa"/>
            <w:gridSpan w:val="2"/>
            <w:tcBorders>
              <w:right w:val="double" w:color="auto" w:sz="4" w:space="0"/>
            </w:tcBorders>
            <w:vAlign w:val="center"/>
          </w:tcPr>
          <w:p>
            <w:pPr>
              <w:tabs>
                <w:tab w:val="left" w:pos="4320"/>
              </w:tabs>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cBorders>
              <w:left w:val="double" w:color="auto" w:sz="4" w:space="0"/>
            </w:tcBorders>
            <w:vAlign w:val="center"/>
          </w:tcPr>
          <w:p>
            <w:pPr>
              <w:tabs>
                <w:tab w:val="left" w:pos="4320"/>
              </w:tabs>
              <w:rPr>
                <w:rFonts w:ascii="宋体" w:hAnsi="宋体" w:cs="宋体"/>
                <w:sz w:val="24"/>
              </w:rPr>
            </w:pPr>
            <w:r>
              <w:rPr>
                <w:rFonts w:hint="eastAsia" w:ascii="宋体" w:hAnsi="宋体" w:cs="宋体"/>
                <w:sz w:val="24"/>
              </w:rPr>
              <w:t>其它</w:t>
            </w:r>
          </w:p>
        </w:tc>
        <w:tc>
          <w:tcPr>
            <w:tcW w:w="4206" w:type="dxa"/>
            <w:gridSpan w:val="6"/>
            <w:vAlign w:val="center"/>
          </w:tcPr>
          <w:p>
            <w:pPr>
              <w:tabs>
                <w:tab w:val="left" w:pos="4320"/>
              </w:tabs>
              <w:spacing w:before="60" w:after="60"/>
              <w:rPr>
                <w:rFonts w:ascii="宋体" w:hAnsi="宋体" w:cs="宋体"/>
                <w:sz w:val="24"/>
              </w:rPr>
            </w:pPr>
            <w:r>
              <w:rPr>
                <w:rFonts w:hint="eastAsia" w:ascii="宋体" w:hAnsi="宋体" w:cs="宋体"/>
                <w:sz w:val="24"/>
              </w:rPr>
              <w:t>近3年完成及正在执行的合同中发生的由于投标供应商违约或部分违约而引起诉讼和受到索赔的案件具体情况及结果（须如实填写，若对此进行隐瞒，尔后又被采购人或采购代理机构发现，或被它人举证成立，其投标资格将被取消）。</w:t>
            </w:r>
          </w:p>
        </w:tc>
        <w:tc>
          <w:tcPr>
            <w:tcW w:w="4142" w:type="dxa"/>
            <w:gridSpan w:val="5"/>
            <w:tcBorders>
              <w:right w:val="double" w:color="auto" w:sz="4" w:space="0"/>
            </w:tcBorders>
            <w:vAlign w:val="center"/>
          </w:tcPr>
          <w:p>
            <w:pPr>
              <w:tabs>
                <w:tab w:val="left" w:pos="4320"/>
              </w:tabs>
              <w:spacing w:before="60" w:after="60"/>
              <w:rPr>
                <w:rFonts w:ascii="宋体" w:hAnsi="宋体" w:cs="宋体"/>
                <w:sz w:val="24"/>
              </w:rPr>
            </w:pPr>
            <w:r>
              <w:rPr>
                <w:rFonts w:hint="eastAsia" w:ascii="宋体" w:hAnsi="宋体" w:cs="宋体"/>
                <w:sz w:val="24"/>
              </w:rPr>
              <w:t>如有名称变更（非因该单位出现了与资格预审（如果经此程序）时的营业性质的根本改变以至不再满足本次招标的要求），说明原名称因何种原因变更为现名称，并提供由工商管理部门出具的变更证明文件。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7" w:hRule="atLeast"/>
        </w:trPr>
        <w:tc>
          <w:tcPr>
            <w:tcW w:w="817" w:type="dxa"/>
            <w:vMerge w:val="continue"/>
            <w:tcBorders>
              <w:left w:val="double" w:color="auto" w:sz="4" w:space="0"/>
              <w:bottom w:val="double" w:color="auto" w:sz="4" w:space="0"/>
            </w:tcBorders>
            <w:vAlign w:val="center"/>
          </w:tcPr>
          <w:p>
            <w:pPr>
              <w:tabs>
                <w:tab w:val="left" w:pos="4320"/>
              </w:tabs>
              <w:rPr>
                <w:rFonts w:ascii="宋体" w:hAnsi="宋体" w:cs="宋体"/>
                <w:sz w:val="24"/>
              </w:rPr>
            </w:pPr>
          </w:p>
        </w:tc>
        <w:tc>
          <w:tcPr>
            <w:tcW w:w="4206" w:type="dxa"/>
            <w:gridSpan w:val="6"/>
            <w:tcBorders>
              <w:bottom w:val="double" w:color="auto" w:sz="4" w:space="0"/>
            </w:tcBorders>
            <w:vAlign w:val="center"/>
          </w:tcPr>
          <w:p>
            <w:pPr>
              <w:tabs>
                <w:tab w:val="left" w:pos="4320"/>
              </w:tabs>
              <w:rPr>
                <w:rFonts w:ascii="宋体" w:hAnsi="宋体" w:cs="宋体"/>
                <w:sz w:val="24"/>
              </w:rPr>
            </w:pPr>
          </w:p>
        </w:tc>
        <w:tc>
          <w:tcPr>
            <w:tcW w:w="4142" w:type="dxa"/>
            <w:gridSpan w:val="5"/>
            <w:tcBorders>
              <w:bottom w:val="double" w:color="auto" w:sz="4" w:space="0"/>
              <w:right w:val="double" w:color="auto" w:sz="4" w:space="0"/>
            </w:tcBorders>
            <w:vAlign w:val="center"/>
          </w:tcPr>
          <w:p>
            <w:pPr>
              <w:tabs>
                <w:tab w:val="left" w:pos="4320"/>
              </w:tabs>
              <w:rPr>
                <w:rFonts w:ascii="宋体" w:hAnsi="宋体" w:cs="宋体"/>
                <w:sz w:val="24"/>
              </w:rPr>
            </w:pPr>
          </w:p>
        </w:tc>
      </w:tr>
    </w:tbl>
    <w:p>
      <w:pPr>
        <w:snapToGrid w:val="0"/>
        <w:spacing w:line="300" w:lineRule="auto"/>
        <w:contextualSpacing/>
        <w:rPr>
          <w:rFonts w:ascii="宋体" w:hAnsi="宋体" w:cs="宋体"/>
          <w:sz w:val="28"/>
          <w:szCs w:val="28"/>
        </w:rPr>
      </w:pPr>
    </w:p>
    <w:p>
      <w:pPr>
        <w:widowControl/>
        <w:jc w:val="left"/>
        <w:rPr>
          <w:rFonts w:ascii="宋体" w:hAnsi="宋体" w:cs="宋体"/>
          <w:kern w:val="0"/>
          <w:sz w:val="32"/>
          <w:szCs w:val="32"/>
        </w:rPr>
      </w:pPr>
      <w:r>
        <w:rPr>
          <w:rFonts w:ascii="宋体" w:hAnsi="宋体" w:cs="宋体"/>
          <w:kern w:val="0"/>
          <w:sz w:val="32"/>
          <w:szCs w:val="32"/>
        </w:rPr>
        <w:br w:type="page"/>
      </w:r>
    </w:p>
    <w:p>
      <w:pPr>
        <w:widowControl/>
        <w:jc w:val="left"/>
        <w:rPr>
          <w:rFonts w:ascii="宋体" w:hAnsi="宋体" w:cs="宋体"/>
          <w:kern w:val="0"/>
          <w:sz w:val="32"/>
          <w:szCs w:val="32"/>
        </w:rPr>
      </w:pPr>
      <w:r>
        <w:rPr>
          <w:rFonts w:hint="eastAsia" w:ascii="宋体" w:hAnsi="宋体" w:cs="宋体"/>
          <w:kern w:val="0"/>
          <w:sz w:val="32"/>
          <w:szCs w:val="32"/>
        </w:rPr>
        <w:t>附件7</w:t>
      </w:r>
    </w:p>
    <w:p>
      <w:pPr>
        <w:snapToGrid w:val="0"/>
        <w:spacing w:line="300" w:lineRule="auto"/>
        <w:contextualSpacing/>
        <w:jc w:val="center"/>
        <w:rPr>
          <w:rFonts w:ascii="宋体" w:hAnsi="宋体" w:cs="宋体"/>
          <w:b/>
          <w:sz w:val="32"/>
          <w:szCs w:val="32"/>
        </w:rPr>
      </w:pPr>
      <w:r>
        <w:rPr>
          <w:rFonts w:hint="eastAsia" w:ascii="宋体" w:hAnsi="宋体" w:cs="宋体"/>
          <w:b/>
          <w:sz w:val="32"/>
          <w:szCs w:val="32"/>
        </w:rPr>
        <w:t>商务部分正负偏离表</w:t>
      </w:r>
    </w:p>
    <w:p>
      <w:pPr>
        <w:ind w:firstLine="480" w:firstLineChars="200"/>
        <w:jc w:val="center"/>
        <w:rPr>
          <w:rFonts w:ascii="宋体" w:hAnsi="宋体" w:cs="宋体"/>
          <w:sz w:val="24"/>
        </w:rPr>
      </w:pPr>
      <w:r>
        <w:rPr>
          <w:rFonts w:hint="eastAsia" w:ascii="宋体" w:hAnsi="宋体" w:cs="宋体"/>
          <w:sz w:val="24"/>
        </w:rPr>
        <w:t>（由供应商据实填写，表格不够自行添加）</w:t>
      </w:r>
    </w:p>
    <w:p>
      <w:pPr>
        <w:ind w:firstLine="480" w:firstLineChars="200"/>
        <w:jc w:val="center"/>
        <w:rPr>
          <w:rFonts w:ascii="宋体" w:hAnsi="宋体" w:cs="宋体"/>
          <w:sz w:val="24"/>
        </w:rPr>
      </w:pP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2318"/>
        <w:gridCol w:w="2024"/>
        <w:gridCol w:w="2612"/>
        <w:gridCol w:w="14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4" w:hRule="atLeast"/>
        </w:trPr>
        <w:tc>
          <w:tcPr>
            <w:tcW w:w="460"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 w:val="24"/>
              </w:rPr>
            </w:pPr>
            <w:r>
              <w:rPr>
                <w:rFonts w:hint="eastAsia" w:ascii="宋体" w:hAnsi="宋体" w:cs="宋体"/>
                <w:sz w:val="24"/>
              </w:rPr>
              <w:t>序号</w:t>
            </w:r>
          </w:p>
        </w:tc>
        <w:tc>
          <w:tcPr>
            <w:tcW w:w="1254"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 w:val="24"/>
              </w:rPr>
            </w:pPr>
            <w:r>
              <w:rPr>
                <w:rFonts w:hint="eastAsia" w:ascii="宋体" w:hAnsi="宋体" w:cs="宋体"/>
                <w:sz w:val="24"/>
              </w:rPr>
              <w:t>货物或服务名称</w:t>
            </w:r>
          </w:p>
        </w:tc>
        <w:tc>
          <w:tcPr>
            <w:tcW w:w="109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 w:val="24"/>
              </w:rPr>
            </w:pPr>
            <w:r>
              <w:rPr>
                <w:rFonts w:hint="eastAsia" w:ascii="宋体" w:hAnsi="宋体" w:cs="宋体"/>
                <w:sz w:val="24"/>
              </w:rPr>
              <w:t>招标文件要求的商务条款</w:t>
            </w:r>
          </w:p>
        </w:tc>
        <w:tc>
          <w:tcPr>
            <w:tcW w:w="1413"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 w:val="24"/>
              </w:rPr>
            </w:pPr>
            <w:r>
              <w:rPr>
                <w:rFonts w:hint="eastAsia" w:ascii="宋体" w:hAnsi="宋体" w:cs="宋体"/>
                <w:sz w:val="24"/>
              </w:rPr>
              <w:t>响应文件响应情况</w:t>
            </w:r>
          </w:p>
        </w:tc>
        <w:tc>
          <w:tcPr>
            <w:tcW w:w="778" w:type="pct"/>
            <w:tcBorders>
              <w:top w:val="single" w:color="auto" w:sz="4" w:space="0"/>
              <w:left w:val="single" w:color="auto" w:sz="4" w:space="0"/>
              <w:bottom w:val="single" w:color="auto" w:sz="4" w:space="0"/>
              <w:right w:val="single" w:color="auto" w:sz="4" w:space="0"/>
            </w:tcBorders>
          </w:tcPr>
          <w:p>
            <w:pPr>
              <w:spacing w:line="340" w:lineRule="exact"/>
              <w:jc w:val="center"/>
              <w:rPr>
                <w:rFonts w:ascii="宋体" w:hAnsi="宋体" w:cs="宋体"/>
                <w:sz w:val="24"/>
              </w:rPr>
            </w:pPr>
          </w:p>
          <w:p>
            <w:pPr>
              <w:spacing w:line="340" w:lineRule="exact"/>
              <w:jc w:val="center"/>
              <w:rPr>
                <w:rFonts w:ascii="宋体" w:hAnsi="宋体" w:cs="宋体"/>
                <w:sz w:val="24"/>
              </w:rPr>
            </w:pPr>
            <w:r>
              <w:rPr>
                <w:rFonts w:hint="eastAsia" w:ascii="宋体" w:hAnsi="宋体" w:cs="宋体"/>
                <w:sz w:val="24"/>
              </w:rPr>
              <w:t>偏离说明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60" w:type="pct"/>
            <w:tcBorders>
              <w:top w:val="single" w:color="auto" w:sz="4" w:space="0"/>
              <w:left w:val="single" w:color="auto" w:sz="4" w:space="0"/>
              <w:bottom w:val="single" w:color="auto" w:sz="4" w:space="0"/>
              <w:right w:val="single" w:color="auto" w:sz="4" w:space="0"/>
            </w:tcBorders>
          </w:tcPr>
          <w:p>
            <w:pPr>
              <w:spacing w:line="340" w:lineRule="exact"/>
              <w:jc w:val="center"/>
              <w:rPr>
                <w:rFonts w:ascii="宋体" w:hAnsi="宋体" w:cs="宋体"/>
                <w:sz w:val="24"/>
              </w:rPr>
            </w:pPr>
            <w:r>
              <w:rPr>
                <w:rFonts w:hint="eastAsia" w:ascii="宋体" w:hAnsi="宋体" w:cs="宋体"/>
                <w:sz w:val="24"/>
              </w:rPr>
              <w:t>1</w:t>
            </w:r>
          </w:p>
        </w:tc>
        <w:tc>
          <w:tcPr>
            <w:tcW w:w="1254"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09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413"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778" w:type="pct"/>
            <w:tcBorders>
              <w:top w:val="single" w:color="auto" w:sz="4" w:space="0"/>
              <w:left w:val="single" w:color="auto" w:sz="4" w:space="0"/>
              <w:bottom w:val="single" w:color="auto" w:sz="4" w:space="0"/>
              <w:right w:val="single" w:color="auto" w:sz="4" w:space="0"/>
            </w:tcBorders>
          </w:tcPr>
          <w:p>
            <w:pPr>
              <w:spacing w:line="340" w:lineRule="exact"/>
              <w:jc w:val="left"/>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60" w:type="pct"/>
            <w:tcBorders>
              <w:top w:val="single" w:color="auto" w:sz="4" w:space="0"/>
              <w:left w:val="single" w:color="auto" w:sz="4" w:space="0"/>
              <w:bottom w:val="single" w:color="auto" w:sz="4" w:space="0"/>
              <w:right w:val="single" w:color="auto" w:sz="4" w:space="0"/>
            </w:tcBorders>
          </w:tcPr>
          <w:p>
            <w:pPr>
              <w:spacing w:line="340" w:lineRule="exact"/>
              <w:jc w:val="center"/>
              <w:rPr>
                <w:rFonts w:ascii="宋体" w:hAnsi="宋体" w:cs="宋体"/>
                <w:sz w:val="24"/>
              </w:rPr>
            </w:pPr>
            <w:r>
              <w:rPr>
                <w:rFonts w:hint="eastAsia" w:ascii="宋体" w:hAnsi="宋体" w:cs="宋体"/>
                <w:sz w:val="24"/>
              </w:rPr>
              <w:t>2</w:t>
            </w:r>
          </w:p>
        </w:tc>
        <w:tc>
          <w:tcPr>
            <w:tcW w:w="1254"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09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413"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778" w:type="pct"/>
            <w:tcBorders>
              <w:top w:val="single" w:color="auto" w:sz="4" w:space="0"/>
              <w:left w:val="single" w:color="auto" w:sz="4" w:space="0"/>
              <w:bottom w:val="single" w:color="auto" w:sz="4" w:space="0"/>
              <w:right w:val="single" w:color="auto" w:sz="4" w:space="0"/>
            </w:tcBorders>
          </w:tcPr>
          <w:p>
            <w:pPr>
              <w:spacing w:line="340" w:lineRule="exact"/>
              <w:jc w:val="left"/>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460" w:type="pct"/>
            <w:tcBorders>
              <w:top w:val="single" w:color="auto" w:sz="4" w:space="0"/>
              <w:left w:val="single" w:color="auto" w:sz="4" w:space="0"/>
              <w:bottom w:val="single" w:color="auto" w:sz="4" w:space="0"/>
              <w:right w:val="single" w:color="auto" w:sz="4" w:space="0"/>
            </w:tcBorders>
          </w:tcPr>
          <w:p>
            <w:pPr>
              <w:spacing w:line="340" w:lineRule="exact"/>
              <w:jc w:val="center"/>
              <w:rPr>
                <w:rFonts w:ascii="宋体" w:hAnsi="宋体" w:cs="宋体"/>
                <w:sz w:val="24"/>
              </w:rPr>
            </w:pPr>
            <w:r>
              <w:rPr>
                <w:rFonts w:hint="eastAsia" w:ascii="宋体" w:hAnsi="宋体" w:cs="宋体"/>
                <w:sz w:val="24"/>
              </w:rPr>
              <w:t>3</w:t>
            </w:r>
          </w:p>
        </w:tc>
        <w:tc>
          <w:tcPr>
            <w:tcW w:w="1254"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09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413"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778" w:type="pct"/>
            <w:tcBorders>
              <w:top w:val="single" w:color="auto" w:sz="4" w:space="0"/>
              <w:left w:val="single" w:color="auto" w:sz="4" w:space="0"/>
              <w:bottom w:val="single" w:color="auto" w:sz="4" w:space="0"/>
              <w:right w:val="single" w:color="auto" w:sz="4" w:space="0"/>
            </w:tcBorders>
          </w:tcPr>
          <w:p>
            <w:pPr>
              <w:spacing w:line="340" w:lineRule="exact"/>
              <w:jc w:val="left"/>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460" w:type="pct"/>
            <w:tcBorders>
              <w:top w:val="single" w:color="auto" w:sz="4" w:space="0"/>
              <w:left w:val="single" w:color="auto" w:sz="4" w:space="0"/>
              <w:bottom w:val="single" w:color="auto" w:sz="4" w:space="0"/>
              <w:right w:val="single" w:color="auto" w:sz="4" w:space="0"/>
            </w:tcBorders>
          </w:tcPr>
          <w:p>
            <w:pPr>
              <w:spacing w:line="340" w:lineRule="exact"/>
              <w:jc w:val="center"/>
              <w:rPr>
                <w:rFonts w:ascii="宋体" w:hAnsi="宋体" w:cs="宋体"/>
                <w:sz w:val="24"/>
              </w:rPr>
            </w:pPr>
            <w:r>
              <w:rPr>
                <w:rFonts w:hint="eastAsia" w:ascii="宋体" w:hAnsi="宋体" w:cs="宋体"/>
                <w:sz w:val="24"/>
              </w:rPr>
              <w:t>4</w:t>
            </w:r>
          </w:p>
        </w:tc>
        <w:tc>
          <w:tcPr>
            <w:tcW w:w="1254"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09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413"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778" w:type="pct"/>
            <w:tcBorders>
              <w:top w:val="single" w:color="auto" w:sz="4" w:space="0"/>
              <w:left w:val="single" w:color="auto" w:sz="4" w:space="0"/>
              <w:bottom w:val="single" w:color="auto" w:sz="4" w:space="0"/>
              <w:right w:val="single" w:color="auto" w:sz="4" w:space="0"/>
            </w:tcBorders>
          </w:tcPr>
          <w:p>
            <w:pPr>
              <w:spacing w:line="340" w:lineRule="exact"/>
              <w:jc w:val="left"/>
              <w:rPr>
                <w:rFonts w:ascii="宋体" w:hAnsi="宋体" w:cs="宋体"/>
                <w:sz w:val="24"/>
              </w:rPr>
            </w:pPr>
          </w:p>
        </w:tc>
      </w:tr>
    </w:tbl>
    <w:p>
      <w:pPr>
        <w:snapToGrid w:val="0"/>
        <w:spacing w:line="300" w:lineRule="auto"/>
        <w:contextualSpacing/>
        <w:rPr>
          <w:rFonts w:ascii="宋体" w:hAnsi="宋体" w:cs="宋体"/>
          <w:b/>
          <w:sz w:val="24"/>
        </w:rPr>
      </w:pPr>
    </w:p>
    <w:p>
      <w:pPr>
        <w:snapToGrid w:val="0"/>
        <w:spacing w:line="300" w:lineRule="auto"/>
        <w:contextualSpacing/>
        <w:rPr>
          <w:rFonts w:ascii="宋体" w:hAnsi="宋体" w:cs="宋体"/>
          <w:b/>
          <w:sz w:val="24"/>
        </w:rPr>
      </w:pPr>
      <w:r>
        <w:rPr>
          <w:rFonts w:hint="eastAsia" w:ascii="宋体" w:hAnsi="宋体" w:cs="宋体"/>
          <w:b/>
          <w:sz w:val="24"/>
        </w:rPr>
        <w:t>注：</w:t>
      </w:r>
    </w:p>
    <w:p>
      <w:pPr>
        <w:snapToGrid w:val="0"/>
        <w:spacing w:line="300" w:lineRule="auto"/>
        <w:ind w:firstLine="480" w:firstLineChars="200"/>
        <w:contextualSpacing/>
        <w:rPr>
          <w:rFonts w:ascii="宋体" w:hAnsi="宋体" w:cs="宋体"/>
          <w:sz w:val="24"/>
        </w:rPr>
      </w:pPr>
      <w:r>
        <w:rPr>
          <w:rFonts w:hint="eastAsia" w:ascii="宋体" w:hAnsi="宋体" w:cs="宋体"/>
          <w:sz w:val="24"/>
        </w:rPr>
        <w:t>1.供应商提交的投标文件中与招标文件第三部分“项目需求”中的商务部分的要求，可逐条填列在偏离表中。</w:t>
      </w:r>
    </w:p>
    <w:p>
      <w:pPr>
        <w:snapToGrid w:val="0"/>
        <w:spacing w:line="300" w:lineRule="auto"/>
        <w:ind w:firstLine="480" w:firstLineChars="200"/>
        <w:contextualSpacing/>
        <w:rPr>
          <w:rFonts w:ascii="宋体" w:hAnsi="宋体" w:cs="宋体"/>
          <w:sz w:val="24"/>
        </w:rPr>
      </w:pPr>
      <w:r>
        <w:rPr>
          <w:rFonts w:hint="eastAsia" w:ascii="宋体" w:hAnsi="宋体" w:cs="宋体"/>
          <w:sz w:val="24"/>
        </w:rPr>
        <w:t>2. “偏离说明”一栏选择“正偏离”、“无偏离”、“负偏离”进行填写。正偏离、无偏离的确认和负偏离的是否响应招标文件，由评委认定。</w:t>
      </w:r>
    </w:p>
    <w:p>
      <w:pPr>
        <w:snapToGrid w:val="0"/>
        <w:spacing w:line="300" w:lineRule="auto"/>
        <w:ind w:firstLine="480" w:firstLineChars="200"/>
        <w:contextualSpacing/>
        <w:rPr>
          <w:rFonts w:ascii="宋体" w:hAnsi="宋体" w:cs="宋体"/>
          <w:sz w:val="24"/>
        </w:rPr>
      </w:pPr>
      <w:r>
        <w:rPr>
          <w:rFonts w:hint="eastAsia" w:ascii="宋体" w:hAnsi="宋体" w:cs="宋体"/>
          <w:sz w:val="24"/>
        </w:rPr>
        <w:t>3.供应商如果虚假响应，将被暂停参加采购人组织采购活动。</w:t>
      </w:r>
    </w:p>
    <w:p>
      <w:pPr>
        <w:snapToGrid w:val="0"/>
        <w:spacing w:line="300" w:lineRule="auto"/>
        <w:ind w:firstLine="480" w:firstLineChars="200"/>
        <w:contextualSpacing/>
        <w:rPr>
          <w:rFonts w:ascii="宋体" w:hAnsi="宋体" w:cs="宋体"/>
          <w:bCs/>
          <w:sz w:val="24"/>
        </w:rPr>
      </w:pPr>
      <w:r>
        <w:rPr>
          <w:rFonts w:hint="eastAsia" w:ascii="宋体" w:hAnsi="宋体" w:cs="宋体"/>
          <w:bCs/>
          <w:sz w:val="24"/>
        </w:rPr>
        <w:t>4.供应商若提供其他增值服务，可以在表中自行据实填写。</w:t>
      </w:r>
    </w:p>
    <w:p>
      <w:pPr>
        <w:pStyle w:val="19"/>
      </w:pPr>
    </w:p>
    <w:p>
      <w:pPr>
        <w:widowControl/>
        <w:jc w:val="left"/>
        <w:rPr>
          <w:rFonts w:ascii="宋体" w:hAnsi="宋体" w:cs="宋体"/>
          <w:kern w:val="0"/>
          <w:sz w:val="32"/>
          <w:szCs w:val="32"/>
        </w:rPr>
      </w:pPr>
      <w:r>
        <w:rPr>
          <w:rFonts w:ascii="宋体" w:hAnsi="宋体" w:cs="宋体"/>
          <w:kern w:val="0"/>
          <w:sz w:val="32"/>
          <w:szCs w:val="32"/>
        </w:rPr>
        <w:br w:type="page"/>
      </w:r>
    </w:p>
    <w:p>
      <w:pPr>
        <w:widowControl/>
        <w:jc w:val="left"/>
        <w:rPr>
          <w:rFonts w:ascii="宋体" w:hAnsi="宋体" w:cs="宋体"/>
          <w:kern w:val="0"/>
          <w:sz w:val="32"/>
          <w:szCs w:val="32"/>
        </w:rPr>
      </w:pPr>
      <w:r>
        <w:rPr>
          <w:rFonts w:hint="eastAsia" w:ascii="宋体" w:hAnsi="宋体" w:cs="宋体"/>
          <w:kern w:val="0"/>
          <w:sz w:val="32"/>
          <w:szCs w:val="32"/>
        </w:rPr>
        <w:t>附件8</w:t>
      </w:r>
    </w:p>
    <w:p>
      <w:pPr>
        <w:snapToGrid w:val="0"/>
        <w:spacing w:line="300" w:lineRule="auto"/>
        <w:contextualSpacing/>
        <w:jc w:val="center"/>
        <w:rPr>
          <w:rFonts w:ascii="宋体" w:hAnsi="宋体" w:cs="宋体"/>
          <w:b/>
          <w:sz w:val="32"/>
          <w:szCs w:val="32"/>
        </w:rPr>
      </w:pPr>
      <w:r>
        <w:rPr>
          <w:rFonts w:hint="eastAsia" w:ascii="宋体" w:hAnsi="宋体" w:cs="宋体"/>
          <w:b/>
          <w:sz w:val="32"/>
          <w:szCs w:val="32"/>
        </w:rPr>
        <w:t>技术部分正负偏离表</w:t>
      </w:r>
    </w:p>
    <w:p>
      <w:pPr>
        <w:ind w:firstLine="480" w:firstLineChars="200"/>
        <w:jc w:val="center"/>
        <w:rPr>
          <w:rFonts w:ascii="宋体" w:hAnsi="宋体" w:cs="宋体"/>
          <w:sz w:val="24"/>
        </w:rPr>
      </w:pPr>
      <w:r>
        <w:rPr>
          <w:rFonts w:hint="eastAsia" w:ascii="宋体" w:hAnsi="宋体" w:cs="宋体"/>
          <w:sz w:val="24"/>
        </w:rPr>
        <w:t>（由供应商据实填写，表格不够自行添加）</w:t>
      </w:r>
    </w:p>
    <w:p>
      <w:pPr>
        <w:ind w:firstLine="480" w:firstLineChars="200"/>
        <w:jc w:val="center"/>
        <w:rPr>
          <w:rFonts w:ascii="宋体" w:hAnsi="宋体" w:cs="宋体"/>
          <w:sz w:val="24"/>
        </w:rPr>
      </w:pP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2318"/>
        <w:gridCol w:w="2024"/>
        <w:gridCol w:w="2612"/>
        <w:gridCol w:w="14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4" w:hRule="atLeast"/>
        </w:trPr>
        <w:tc>
          <w:tcPr>
            <w:tcW w:w="460"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 w:val="24"/>
              </w:rPr>
            </w:pPr>
            <w:r>
              <w:rPr>
                <w:rFonts w:hint="eastAsia" w:ascii="宋体" w:hAnsi="宋体" w:cs="宋体"/>
                <w:sz w:val="24"/>
              </w:rPr>
              <w:t>序号</w:t>
            </w:r>
          </w:p>
        </w:tc>
        <w:tc>
          <w:tcPr>
            <w:tcW w:w="1254"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 w:val="24"/>
              </w:rPr>
            </w:pPr>
            <w:r>
              <w:rPr>
                <w:rFonts w:hint="eastAsia" w:ascii="宋体" w:hAnsi="宋体" w:cs="宋体"/>
                <w:sz w:val="24"/>
              </w:rPr>
              <w:t>货物或服务名称</w:t>
            </w:r>
          </w:p>
        </w:tc>
        <w:tc>
          <w:tcPr>
            <w:tcW w:w="109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 w:val="24"/>
              </w:rPr>
            </w:pPr>
            <w:r>
              <w:rPr>
                <w:rFonts w:hint="eastAsia" w:ascii="宋体" w:hAnsi="宋体" w:cs="宋体"/>
                <w:sz w:val="24"/>
              </w:rPr>
              <w:t>招标文件要求的技术要求</w:t>
            </w:r>
          </w:p>
        </w:tc>
        <w:tc>
          <w:tcPr>
            <w:tcW w:w="1413"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sz w:val="24"/>
              </w:rPr>
            </w:pPr>
            <w:r>
              <w:rPr>
                <w:rFonts w:hint="eastAsia" w:ascii="宋体" w:hAnsi="宋体" w:cs="宋体"/>
                <w:sz w:val="24"/>
              </w:rPr>
              <w:t>响应文件响应情况</w:t>
            </w:r>
          </w:p>
        </w:tc>
        <w:tc>
          <w:tcPr>
            <w:tcW w:w="778" w:type="pct"/>
            <w:tcBorders>
              <w:top w:val="single" w:color="auto" w:sz="4" w:space="0"/>
              <w:left w:val="single" w:color="auto" w:sz="4" w:space="0"/>
              <w:bottom w:val="single" w:color="auto" w:sz="4" w:space="0"/>
              <w:right w:val="single" w:color="auto" w:sz="4" w:space="0"/>
            </w:tcBorders>
          </w:tcPr>
          <w:p>
            <w:pPr>
              <w:spacing w:line="340" w:lineRule="exact"/>
              <w:jc w:val="center"/>
              <w:rPr>
                <w:rFonts w:ascii="宋体" w:hAnsi="宋体" w:cs="宋体"/>
                <w:sz w:val="24"/>
              </w:rPr>
            </w:pPr>
          </w:p>
          <w:p>
            <w:pPr>
              <w:spacing w:line="340" w:lineRule="exact"/>
              <w:jc w:val="center"/>
              <w:rPr>
                <w:rFonts w:ascii="宋体" w:hAnsi="宋体" w:cs="宋体"/>
                <w:sz w:val="24"/>
              </w:rPr>
            </w:pPr>
            <w:r>
              <w:rPr>
                <w:rFonts w:hint="eastAsia" w:ascii="宋体" w:hAnsi="宋体" w:cs="宋体"/>
                <w:sz w:val="24"/>
              </w:rPr>
              <w:t>偏离说明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60" w:type="pct"/>
            <w:tcBorders>
              <w:top w:val="single" w:color="auto" w:sz="4" w:space="0"/>
              <w:left w:val="single" w:color="auto" w:sz="4" w:space="0"/>
              <w:bottom w:val="single" w:color="auto" w:sz="4" w:space="0"/>
              <w:right w:val="single" w:color="auto" w:sz="4" w:space="0"/>
            </w:tcBorders>
          </w:tcPr>
          <w:p>
            <w:pPr>
              <w:spacing w:line="340" w:lineRule="exact"/>
              <w:jc w:val="center"/>
              <w:rPr>
                <w:rFonts w:ascii="宋体" w:hAnsi="宋体" w:cs="宋体"/>
                <w:sz w:val="24"/>
              </w:rPr>
            </w:pPr>
            <w:r>
              <w:rPr>
                <w:rFonts w:hint="eastAsia" w:ascii="宋体" w:hAnsi="宋体" w:cs="宋体"/>
                <w:sz w:val="24"/>
              </w:rPr>
              <w:t>1</w:t>
            </w:r>
          </w:p>
        </w:tc>
        <w:tc>
          <w:tcPr>
            <w:tcW w:w="1254"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09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413"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778" w:type="pct"/>
            <w:tcBorders>
              <w:top w:val="single" w:color="auto" w:sz="4" w:space="0"/>
              <w:left w:val="single" w:color="auto" w:sz="4" w:space="0"/>
              <w:bottom w:val="single" w:color="auto" w:sz="4" w:space="0"/>
              <w:right w:val="single" w:color="auto" w:sz="4" w:space="0"/>
            </w:tcBorders>
          </w:tcPr>
          <w:p>
            <w:pPr>
              <w:spacing w:line="340" w:lineRule="exact"/>
              <w:jc w:val="left"/>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60" w:type="pct"/>
            <w:tcBorders>
              <w:top w:val="single" w:color="auto" w:sz="4" w:space="0"/>
              <w:left w:val="single" w:color="auto" w:sz="4" w:space="0"/>
              <w:bottom w:val="single" w:color="auto" w:sz="4" w:space="0"/>
              <w:right w:val="single" w:color="auto" w:sz="4" w:space="0"/>
            </w:tcBorders>
          </w:tcPr>
          <w:p>
            <w:pPr>
              <w:spacing w:line="340" w:lineRule="exact"/>
              <w:jc w:val="center"/>
              <w:rPr>
                <w:rFonts w:ascii="宋体" w:hAnsi="宋体" w:cs="宋体"/>
                <w:sz w:val="24"/>
              </w:rPr>
            </w:pPr>
            <w:r>
              <w:rPr>
                <w:rFonts w:hint="eastAsia" w:ascii="宋体" w:hAnsi="宋体" w:cs="宋体"/>
                <w:sz w:val="24"/>
              </w:rPr>
              <w:t>2</w:t>
            </w:r>
          </w:p>
        </w:tc>
        <w:tc>
          <w:tcPr>
            <w:tcW w:w="1254"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09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413"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778" w:type="pct"/>
            <w:tcBorders>
              <w:top w:val="single" w:color="auto" w:sz="4" w:space="0"/>
              <w:left w:val="single" w:color="auto" w:sz="4" w:space="0"/>
              <w:bottom w:val="single" w:color="auto" w:sz="4" w:space="0"/>
              <w:right w:val="single" w:color="auto" w:sz="4" w:space="0"/>
            </w:tcBorders>
          </w:tcPr>
          <w:p>
            <w:pPr>
              <w:spacing w:line="340" w:lineRule="exact"/>
              <w:jc w:val="left"/>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460" w:type="pct"/>
            <w:tcBorders>
              <w:top w:val="single" w:color="auto" w:sz="4" w:space="0"/>
              <w:left w:val="single" w:color="auto" w:sz="4" w:space="0"/>
              <w:bottom w:val="single" w:color="auto" w:sz="4" w:space="0"/>
              <w:right w:val="single" w:color="auto" w:sz="4" w:space="0"/>
            </w:tcBorders>
          </w:tcPr>
          <w:p>
            <w:pPr>
              <w:spacing w:line="340" w:lineRule="exact"/>
              <w:jc w:val="center"/>
              <w:rPr>
                <w:rFonts w:ascii="宋体" w:hAnsi="宋体" w:cs="宋体"/>
                <w:sz w:val="24"/>
              </w:rPr>
            </w:pPr>
            <w:r>
              <w:rPr>
                <w:rFonts w:hint="eastAsia" w:ascii="宋体" w:hAnsi="宋体" w:cs="宋体"/>
                <w:sz w:val="24"/>
              </w:rPr>
              <w:t>3</w:t>
            </w:r>
          </w:p>
        </w:tc>
        <w:tc>
          <w:tcPr>
            <w:tcW w:w="1254"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09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413"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778" w:type="pct"/>
            <w:tcBorders>
              <w:top w:val="single" w:color="auto" w:sz="4" w:space="0"/>
              <w:left w:val="single" w:color="auto" w:sz="4" w:space="0"/>
              <w:bottom w:val="single" w:color="auto" w:sz="4" w:space="0"/>
              <w:right w:val="single" w:color="auto" w:sz="4" w:space="0"/>
            </w:tcBorders>
          </w:tcPr>
          <w:p>
            <w:pPr>
              <w:spacing w:line="340" w:lineRule="exact"/>
              <w:jc w:val="left"/>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460" w:type="pct"/>
            <w:tcBorders>
              <w:top w:val="single" w:color="auto" w:sz="4" w:space="0"/>
              <w:left w:val="single" w:color="auto" w:sz="4" w:space="0"/>
              <w:bottom w:val="single" w:color="auto" w:sz="4" w:space="0"/>
              <w:right w:val="single" w:color="auto" w:sz="4" w:space="0"/>
            </w:tcBorders>
          </w:tcPr>
          <w:p>
            <w:pPr>
              <w:spacing w:line="340" w:lineRule="exact"/>
              <w:jc w:val="center"/>
              <w:rPr>
                <w:rFonts w:ascii="宋体" w:hAnsi="宋体" w:cs="宋体"/>
                <w:sz w:val="24"/>
              </w:rPr>
            </w:pPr>
            <w:r>
              <w:rPr>
                <w:rFonts w:hint="eastAsia" w:ascii="宋体" w:hAnsi="宋体" w:cs="宋体"/>
                <w:sz w:val="24"/>
              </w:rPr>
              <w:t>4</w:t>
            </w:r>
          </w:p>
        </w:tc>
        <w:tc>
          <w:tcPr>
            <w:tcW w:w="1254"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095"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1413" w:type="pct"/>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cs="宋体"/>
                <w:sz w:val="24"/>
              </w:rPr>
            </w:pPr>
          </w:p>
        </w:tc>
        <w:tc>
          <w:tcPr>
            <w:tcW w:w="778" w:type="pct"/>
            <w:tcBorders>
              <w:top w:val="single" w:color="auto" w:sz="4" w:space="0"/>
              <w:left w:val="single" w:color="auto" w:sz="4" w:space="0"/>
              <w:bottom w:val="single" w:color="auto" w:sz="4" w:space="0"/>
              <w:right w:val="single" w:color="auto" w:sz="4" w:space="0"/>
            </w:tcBorders>
          </w:tcPr>
          <w:p>
            <w:pPr>
              <w:spacing w:line="340" w:lineRule="exact"/>
              <w:jc w:val="left"/>
              <w:rPr>
                <w:rFonts w:ascii="宋体" w:hAnsi="宋体" w:cs="宋体"/>
                <w:sz w:val="24"/>
              </w:rPr>
            </w:pPr>
          </w:p>
        </w:tc>
      </w:tr>
    </w:tbl>
    <w:p>
      <w:pPr>
        <w:snapToGrid w:val="0"/>
        <w:spacing w:line="300" w:lineRule="auto"/>
        <w:contextualSpacing/>
        <w:rPr>
          <w:rFonts w:ascii="宋体" w:hAnsi="宋体" w:cs="宋体"/>
          <w:b/>
          <w:sz w:val="24"/>
        </w:rPr>
      </w:pPr>
    </w:p>
    <w:p>
      <w:pPr>
        <w:snapToGrid w:val="0"/>
        <w:spacing w:line="300" w:lineRule="auto"/>
        <w:contextualSpacing/>
        <w:rPr>
          <w:rFonts w:ascii="宋体" w:hAnsi="宋体" w:cs="宋体"/>
          <w:b/>
          <w:sz w:val="24"/>
        </w:rPr>
      </w:pPr>
      <w:r>
        <w:rPr>
          <w:rFonts w:hint="eastAsia" w:ascii="宋体" w:hAnsi="宋体" w:cs="宋体"/>
          <w:b/>
          <w:sz w:val="24"/>
        </w:rPr>
        <w:t>注：</w:t>
      </w:r>
    </w:p>
    <w:p>
      <w:pPr>
        <w:snapToGrid w:val="0"/>
        <w:spacing w:line="300" w:lineRule="auto"/>
        <w:ind w:firstLine="480" w:firstLineChars="200"/>
        <w:contextualSpacing/>
        <w:rPr>
          <w:rFonts w:ascii="宋体" w:hAnsi="宋体" w:cs="宋体"/>
          <w:sz w:val="24"/>
        </w:rPr>
      </w:pPr>
      <w:r>
        <w:rPr>
          <w:rFonts w:hint="eastAsia" w:ascii="宋体" w:hAnsi="宋体" w:cs="宋体"/>
          <w:sz w:val="24"/>
        </w:rPr>
        <w:t>1.供应商提交的投标文件中与招标文件第三部分“项目需求”中的技术部分的要求，可逐条填列在偏离表中。</w:t>
      </w:r>
    </w:p>
    <w:p>
      <w:pPr>
        <w:snapToGrid w:val="0"/>
        <w:spacing w:line="300" w:lineRule="auto"/>
        <w:ind w:firstLine="480" w:firstLineChars="200"/>
        <w:contextualSpacing/>
        <w:rPr>
          <w:rFonts w:ascii="宋体" w:hAnsi="宋体" w:cs="宋体"/>
          <w:sz w:val="24"/>
        </w:rPr>
      </w:pPr>
      <w:r>
        <w:rPr>
          <w:rFonts w:hint="eastAsia" w:ascii="宋体" w:hAnsi="宋体" w:cs="宋体"/>
          <w:sz w:val="24"/>
        </w:rPr>
        <w:t>2. “偏离说明”一栏选择“正偏离”、“无偏离”、“负偏离”进行填写。正偏离、无偏离的确认和负偏离的是否响应招标文件，由评委认定。</w:t>
      </w:r>
    </w:p>
    <w:p>
      <w:pPr>
        <w:snapToGrid w:val="0"/>
        <w:spacing w:line="300" w:lineRule="auto"/>
        <w:ind w:firstLine="480" w:firstLineChars="200"/>
        <w:contextualSpacing/>
        <w:rPr>
          <w:rFonts w:ascii="宋体" w:hAnsi="宋体" w:cs="宋体"/>
          <w:sz w:val="24"/>
        </w:rPr>
      </w:pPr>
      <w:r>
        <w:rPr>
          <w:rFonts w:hint="eastAsia" w:ascii="宋体" w:hAnsi="宋体" w:cs="宋体"/>
          <w:sz w:val="24"/>
        </w:rPr>
        <w:t>3.供应商如果虚假响应，将被暂停参加采购人组织采购活动。</w:t>
      </w:r>
    </w:p>
    <w:p>
      <w:pPr>
        <w:snapToGrid w:val="0"/>
        <w:spacing w:line="300" w:lineRule="auto"/>
        <w:ind w:firstLine="480" w:firstLineChars="200"/>
        <w:contextualSpacing/>
        <w:rPr>
          <w:rFonts w:ascii="宋体" w:hAnsi="宋体" w:cs="宋体"/>
          <w:sz w:val="24"/>
        </w:rPr>
      </w:pPr>
      <w:r>
        <w:rPr>
          <w:rFonts w:hint="eastAsia" w:ascii="宋体" w:hAnsi="宋体" w:cs="宋体"/>
          <w:sz w:val="24"/>
        </w:rPr>
        <w:t>4.供应商若提供其他增值服务，可以在表中自行据实填写。</w:t>
      </w:r>
    </w:p>
    <w:p>
      <w:pPr>
        <w:widowControl/>
        <w:jc w:val="left"/>
        <w:rPr>
          <w:rFonts w:ascii="宋体" w:hAnsi="宋体" w:cs="宋体"/>
          <w:kern w:val="0"/>
          <w:sz w:val="32"/>
          <w:szCs w:val="32"/>
        </w:rPr>
      </w:pPr>
      <w:r>
        <w:rPr>
          <w:rFonts w:ascii="宋体" w:hAnsi="宋体" w:cs="宋体"/>
          <w:kern w:val="0"/>
          <w:sz w:val="32"/>
          <w:szCs w:val="32"/>
        </w:rPr>
        <w:br w:type="page"/>
      </w:r>
    </w:p>
    <w:p>
      <w:pPr>
        <w:widowControl/>
        <w:jc w:val="left"/>
        <w:rPr>
          <w:rFonts w:ascii="宋体" w:hAnsi="宋体" w:cs="宋体"/>
          <w:kern w:val="0"/>
          <w:sz w:val="32"/>
          <w:szCs w:val="32"/>
        </w:rPr>
      </w:pPr>
      <w:r>
        <w:rPr>
          <w:rFonts w:hint="eastAsia" w:ascii="宋体" w:hAnsi="宋体" w:cs="宋体"/>
          <w:kern w:val="0"/>
          <w:sz w:val="32"/>
          <w:szCs w:val="32"/>
        </w:rPr>
        <w:t>附件9</w:t>
      </w:r>
    </w:p>
    <w:p>
      <w:pPr>
        <w:widowControl/>
        <w:spacing w:before="100" w:beforeAutospacing="1" w:after="100" w:afterAutospacing="1" w:line="500" w:lineRule="atLeast"/>
        <w:jc w:val="center"/>
        <w:rPr>
          <w:rFonts w:ascii="宋体" w:hAnsi="宋体" w:cs="宋体"/>
          <w:kern w:val="0"/>
          <w:sz w:val="30"/>
          <w:szCs w:val="30"/>
        </w:rPr>
      </w:pPr>
      <w:r>
        <w:rPr>
          <w:rFonts w:hint="eastAsia" w:ascii="宋体" w:hAnsi="宋体" w:cs="宋体"/>
          <w:b/>
          <w:bCs/>
          <w:kern w:val="0"/>
          <w:sz w:val="30"/>
          <w:szCs w:val="30"/>
        </w:rPr>
        <w:t>开  标 一 览  表</w:t>
      </w:r>
    </w:p>
    <w:p>
      <w:pPr>
        <w:rPr>
          <w:rFonts w:ascii="宋体" w:hAnsi="宋体" w:cs="宋体"/>
          <w:kern w:val="0"/>
          <w:sz w:val="24"/>
          <w:u w:val="single"/>
        </w:rPr>
      </w:pPr>
      <w:r>
        <w:rPr>
          <w:rFonts w:hint="eastAsia" w:ascii="宋体" w:hAnsi="宋体" w:cs="宋体"/>
          <w:kern w:val="0"/>
          <w:sz w:val="24"/>
        </w:rPr>
        <w:t>投标供应商全称（加盖公章）：</w:t>
      </w:r>
    </w:p>
    <w:p>
      <w:pPr>
        <w:rPr>
          <w:rFonts w:ascii="宋体" w:hAnsi="宋体" w:cs="宋体"/>
          <w:kern w:val="0"/>
          <w:sz w:val="24"/>
          <w:u w:val="single"/>
        </w:rPr>
      </w:pPr>
      <w:r>
        <w:rPr>
          <w:rFonts w:hint="eastAsia" w:ascii="宋体" w:hAnsi="宋体" w:cs="宋体"/>
          <w:kern w:val="0"/>
          <w:sz w:val="24"/>
        </w:rPr>
        <w:t>项目名称：</w:t>
      </w:r>
    </w:p>
    <w:p>
      <w:pPr>
        <w:rPr>
          <w:rFonts w:ascii="宋体" w:hAnsi="宋体" w:cs="宋体"/>
          <w:kern w:val="0"/>
          <w:sz w:val="24"/>
        </w:rPr>
      </w:pPr>
      <w:r>
        <w:rPr>
          <w:rFonts w:hint="eastAsia" w:ascii="宋体" w:hAnsi="宋体" w:cs="宋体"/>
          <w:kern w:val="0"/>
          <w:sz w:val="24"/>
        </w:rPr>
        <w:t>项目编号：</w:t>
      </w:r>
    </w:p>
    <w:tbl>
      <w:tblPr>
        <w:tblStyle w:val="51"/>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宋体" w:hAnsi="宋体" w:cs="宋体"/>
                <w:sz w:val="24"/>
              </w:rPr>
            </w:pPr>
            <w:r>
              <w:rPr>
                <w:rFonts w:hint="eastAsia" w:ascii="宋体" w:hAnsi="宋体" w:cs="宋体"/>
                <w:kern w:val="0"/>
                <w:sz w:val="24"/>
              </w:rPr>
              <w:t>投标货物、服务名称</w:t>
            </w:r>
          </w:p>
        </w:tc>
        <w:tc>
          <w:tcPr>
            <w:tcW w:w="4607" w:type="dxa"/>
          </w:tcPr>
          <w:p>
            <w:pPr>
              <w:jc w:val="center"/>
              <w:rPr>
                <w:rFonts w:ascii="宋体" w:hAnsi="宋体" w:cs="宋体"/>
                <w:sz w:val="24"/>
              </w:rPr>
            </w:pPr>
            <w:r>
              <w:rPr>
                <w:rFonts w:hint="eastAsia" w:ascii="宋体" w:hAnsi="宋体" w:cs="宋体"/>
                <w:kern w:val="0"/>
                <w:sz w:val="24"/>
              </w:rPr>
              <w:t>投标总报价（含税价）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4148" w:type="dxa"/>
          </w:tcPr>
          <w:p>
            <w:pPr>
              <w:rPr>
                <w:rFonts w:ascii="宋体" w:hAnsi="宋体" w:cs="宋体"/>
                <w:sz w:val="24"/>
              </w:rPr>
            </w:pPr>
          </w:p>
        </w:tc>
        <w:tc>
          <w:tcPr>
            <w:tcW w:w="4607" w:type="dxa"/>
          </w:tcPr>
          <w:p>
            <w:r>
              <w:rPr>
                <w:rFonts w:hint="eastAsia" w:ascii="宋体" w:hAnsi="宋体" w:cs="宋体"/>
                <w:kern w:val="0"/>
                <w:sz w:val="24"/>
              </w:rPr>
              <w:t>大写：</w:t>
            </w:r>
            <w:r>
              <w:rPr>
                <w:rFonts w:hint="eastAsia" w:ascii="宋体" w:hAnsi="宋体" w:cs="宋体"/>
                <w:kern w:val="0"/>
                <w:sz w:val="24"/>
              </w:rPr>
              <w:br w:type="textWrapping"/>
            </w:r>
            <w:r>
              <w:rPr>
                <w:rFonts w:hint="eastAsia" w:ascii="宋体" w:hAnsi="宋体" w:cs="宋体"/>
                <w:kern w:val="0"/>
                <w:sz w:val="24"/>
              </w:rPr>
              <w:t>小写：元（人民币）</w:t>
            </w:r>
          </w:p>
        </w:tc>
      </w:tr>
    </w:tbl>
    <w:p>
      <w:pPr>
        <w:rPr>
          <w:rFonts w:ascii="宋体" w:hAnsi="宋体" w:cs="宋体"/>
          <w:kern w:val="0"/>
          <w:sz w:val="24"/>
        </w:rPr>
      </w:pPr>
      <w:r>
        <w:rPr>
          <w:rFonts w:hint="eastAsia" w:ascii="宋体" w:hAnsi="宋体" w:cs="宋体"/>
          <w:kern w:val="0"/>
          <w:sz w:val="24"/>
        </w:rPr>
        <w:t>日期：</w:t>
      </w:r>
    </w:p>
    <w:p>
      <w:pPr>
        <w:rPr>
          <w:rFonts w:ascii="宋体" w:hAnsi="宋体" w:cs="宋体"/>
          <w:kern w:val="0"/>
          <w:sz w:val="24"/>
        </w:rPr>
      </w:pPr>
      <w:r>
        <w:rPr>
          <w:rFonts w:hint="eastAsia" w:ascii="宋体" w:hAnsi="宋体" w:cs="宋体"/>
          <w:kern w:val="0"/>
          <w:sz w:val="24"/>
        </w:rPr>
        <w:t>填写说明：</w:t>
      </w:r>
    </w:p>
    <w:p>
      <w:pPr>
        <w:rPr>
          <w:rFonts w:ascii="宋体" w:hAnsi="宋体" w:cs="宋体"/>
          <w:kern w:val="0"/>
          <w:sz w:val="24"/>
        </w:rPr>
      </w:pPr>
      <w:r>
        <w:rPr>
          <w:rFonts w:hint="eastAsia" w:ascii="宋体" w:hAnsi="宋体" w:cs="宋体"/>
          <w:kern w:val="0"/>
          <w:sz w:val="24"/>
        </w:rPr>
        <w:t>1.开标一览表必须加盖投标单位公章（复印件无效）。</w:t>
      </w:r>
    </w:p>
    <w:p>
      <w:pPr>
        <w:widowControl/>
        <w:jc w:val="left"/>
        <w:rPr>
          <w:rFonts w:ascii="宋体" w:hAnsi="宋体" w:cs="宋体"/>
          <w:b/>
          <w:kern w:val="0"/>
          <w:sz w:val="24"/>
        </w:rPr>
      </w:pPr>
      <w:r>
        <w:rPr>
          <w:rFonts w:hint="eastAsia" w:ascii="宋体" w:hAnsi="宋体" w:cs="宋体"/>
          <w:b/>
          <w:kern w:val="0"/>
          <w:sz w:val="24"/>
        </w:rPr>
        <w:t>2.若为联合体投标，双方均须加盖公章。</w:t>
      </w:r>
    </w:p>
    <w:p>
      <w:pPr>
        <w:widowControl/>
        <w:jc w:val="left"/>
        <w:rPr>
          <w:rFonts w:ascii="宋体" w:hAnsi="宋体" w:cs="宋体"/>
          <w:sz w:val="32"/>
          <w:szCs w:val="32"/>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ind w:firstLine="540" w:firstLineChars="192"/>
        <w:contextualSpacing/>
        <w:rPr>
          <w:rFonts w:ascii="宋体" w:hAnsi="宋体" w:cs="宋体"/>
          <w:b/>
          <w:kern w:val="0"/>
          <w:sz w:val="28"/>
          <w:szCs w:val="28"/>
        </w:rPr>
      </w:pPr>
    </w:p>
    <w:p>
      <w:pPr>
        <w:snapToGrid w:val="0"/>
        <w:spacing w:line="400" w:lineRule="exact"/>
        <w:contextualSpacing/>
        <w:rPr>
          <w:rFonts w:ascii="宋体" w:hAnsi="宋体" w:cs="宋体"/>
          <w:b/>
          <w:kern w:val="0"/>
          <w:sz w:val="28"/>
          <w:szCs w:val="28"/>
        </w:rPr>
      </w:pPr>
    </w:p>
    <w:p>
      <w:pPr>
        <w:snapToGrid w:val="0"/>
        <w:spacing w:line="400" w:lineRule="exact"/>
        <w:contextualSpacing/>
        <w:rPr>
          <w:rFonts w:ascii="宋体" w:hAnsi="宋体" w:cs="宋体"/>
          <w:b/>
          <w:kern w:val="0"/>
          <w:sz w:val="28"/>
          <w:szCs w:val="28"/>
        </w:rPr>
      </w:pPr>
    </w:p>
    <w:p>
      <w:pPr>
        <w:widowControl/>
        <w:jc w:val="left"/>
        <w:rPr>
          <w:rFonts w:ascii="宋体" w:hAnsi="宋体" w:cs="宋体"/>
          <w:kern w:val="0"/>
          <w:sz w:val="32"/>
          <w:szCs w:val="32"/>
        </w:rPr>
      </w:pPr>
      <w:r>
        <w:rPr>
          <w:rFonts w:ascii="宋体" w:hAnsi="宋体" w:cs="宋体"/>
          <w:kern w:val="0"/>
          <w:sz w:val="32"/>
          <w:szCs w:val="32"/>
        </w:rPr>
        <w:br w:type="page"/>
      </w:r>
    </w:p>
    <w:p>
      <w:pPr>
        <w:widowControl/>
        <w:jc w:val="left"/>
        <w:rPr>
          <w:rFonts w:ascii="宋体" w:hAnsi="宋体" w:cs="宋体"/>
          <w:sz w:val="32"/>
          <w:szCs w:val="32"/>
        </w:rPr>
      </w:pPr>
      <w:r>
        <w:rPr>
          <w:rFonts w:hint="eastAsia" w:ascii="宋体" w:hAnsi="宋体" w:cs="宋体"/>
          <w:sz w:val="32"/>
          <w:szCs w:val="32"/>
        </w:rPr>
        <w:t>附件10</w:t>
      </w:r>
    </w:p>
    <w:p>
      <w:pPr>
        <w:widowControl/>
        <w:jc w:val="center"/>
        <w:rPr>
          <w:rFonts w:ascii="宋体" w:hAnsi="宋体" w:cs="宋体"/>
          <w:b/>
          <w:bCs/>
          <w:sz w:val="32"/>
          <w:szCs w:val="32"/>
        </w:rPr>
      </w:pPr>
      <w:r>
        <w:rPr>
          <w:rFonts w:hint="eastAsia" w:ascii="宋体" w:hAnsi="宋体" w:cs="宋体"/>
          <w:b/>
          <w:bCs/>
          <w:sz w:val="32"/>
          <w:szCs w:val="32"/>
        </w:rPr>
        <w:t>分项报价明细表</w:t>
      </w:r>
    </w:p>
    <w:p>
      <w:pPr>
        <w:snapToGrid w:val="0"/>
        <w:spacing w:line="300" w:lineRule="auto"/>
        <w:outlineLvl w:val="0"/>
        <w:rPr>
          <w:rFonts w:ascii="宋体" w:hAnsi="宋体" w:cs="宋体"/>
          <w:bCs/>
          <w:kern w:val="0"/>
          <w:sz w:val="24"/>
          <w:lang w:val="zh-CN"/>
        </w:rPr>
      </w:pPr>
    </w:p>
    <w:p>
      <w:pPr>
        <w:snapToGrid w:val="0"/>
        <w:spacing w:line="300" w:lineRule="auto"/>
        <w:outlineLvl w:val="0"/>
        <w:rPr>
          <w:rFonts w:ascii="宋体" w:hAnsi="宋体" w:cs="宋体"/>
          <w:bCs/>
          <w:kern w:val="0"/>
          <w:sz w:val="24"/>
          <w:lang w:val="zh-CN"/>
        </w:rPr>
      </w:pPr>
    </w:p>
    <w:p>
      <w:pPr>
        <w:snapToGrid w:val="0"/>
        <w:spacing w:line="300" w:lineRule="auto"/>
        <w:outlineLvl w:val="0"/>
        <w:rPr>
          <w:rFonts w:ascii="宋体" w:hAnsi="宋体" w:cs="宋体"/>
          <w:bCs/>
          <w:kern w:val="0"/>
          <w:sz w:val="24"/>
        </w:rPr>
      </w:pPr>
      <w:r>
        <w:rPr>
          <w:rFonts w:hint="eastAsia" w:ascii="宋体" w:hAnsi="宋体" w:cs="宋体"/>
          <w:bCs/>
          <w:kern w:val="0"/>
          <w:sz w:val="24"/>
        </w:rPr>
        <w:t>南通港小庙洪上延航道工程报价明细</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9"/>
        <w:gridCol w:w="2310"/>
        <w:gridCol w:w="2310"/>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9"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费用组成</w:t>
            </w:r>
          </w:p>
        </w:tc>
        <w:tc>
          <w:tcPr>
            <w:tcW w:w="2310"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价格（含税价）</w:t>
            </w:r>
          </w:p>
        </w:tc>
        <w:tc>
          <w:tcPr>
            <w:tcW w:w="2310"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税率</w:t>
            </w:r>
          </w:p>
        </w:tc>
        <w:tc>
          <w:tcPr>
            <w:tcW w:w="2310"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9"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方案设计</w:t>
            </w: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9"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施工</w:t>
            </w: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9"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合计</w:t>
            </w: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lang w:val="zh-CN"/>
              </w:rPr>
            </w:pPr>
          </w:p>
        </w:tc>
      </w:tr>
    </w:tbl>
    <w:p>
      <w:pPr>
        <w:snapToGrid w:val="0"/>
        <w:spacing w:line="300" w:lineRule="auto"/>
        <w:outlineLvl w:val="0"/>
        <w:rPr>
          <w:rFonts w:ascii="宋体" w:hAnsi="宋体" w:cs="宋体"/>
          <w:bCs/>
          <w:kern w:val="0"/>
          <w:sz w:val="24"/>
          <w:lang w:val="zh-CN"/>
        </w:rPr>
      </w:pPr>
    </w:p>
    <w:p>
      <w:pPr>
        <w:pStyle w:val="19"/>
      </w:pPr>
    </w:p>
    <w:p>
      <w:pPr>
        <w:snapToGrid w:val="0"/>
        <w:spacing w:line="300" w:lineRule="auto"/>
        <w:outlineLvl w:val="0"/>
        <w:rPr>
          <w:rFonts w:ascii="宋体" w:hAnsi="宋体" w:cs="宋体"/>
          <w:bCs/>
          <w:kern w:val="0"/>
          <w:sz w:val="24"/>
          <w:lang w:val="zh-CN"/>
        </w:rPr>
      </w:pPr>
    </w:p>
    <w:p>
      <w:pPr>
        <w:snapToGrid w:val="0"/>
        <w:spacing w:line="300" w:lineRule="auto"/>
        <w:outlineLvl w:val="0"/>
        <w:rPr>
          <w:rFonts w:ascii="宋体" w:hAnsi="宋体" w:cs="宋体"/>
          <w:bCs/>
          <w:kern w:val="0"/>
          <w:sz w:val="24"/>
        </w:rPr>
      </w:pPr>
      <w:r>
        <w:rPr>
          <w:rFonts w:hint="eastAsia" w:ascii="宋体" w:hAnsi="宋体" w:cs="宋体"/>
          <w:bCs/>
          <w:kern w:val="0"/>
          <w:sz w:val="24"/>
        </w:rPr>
        <w:t>南通港三夹沙南航道工程报价明细</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9"/>
        <w:gridCol w:w="2310"/>
        <w:gridCol w:w="2310"/>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费用组成</w:t>
            </w:r>
          </w:p>
        </w:tc>
        <w:tc>
          <w:tcPr>
            <w:tcW w:w="2310"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价格（含税价）</w:t>
            </w:r>
          </w:p>
        </w:tc>
        <w:tc>
          <w:tcPr>
            <w:tcW w:w="2310"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税率</w:t>
            </w:r>
          </w:p>
        </w:tc>
        <w:tc>
          <w:tcPr>
            <w:tcW w:w="2310"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方案设计</w:t>
            </w: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施工</w:t>
            </w: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Pr>
          <w:p>
            <w:pPr>
              <w:snapToGrid w:val="0"/>
              <w:spacing w:line="300" w:lineRule="auto"/>
              <w:jc w:val="center"/>
              <w:outlineLvl w:val="0"/>
              <w:rPr>
                <w:rFonts w:ascii="宋体" w:hAnsi="宋体" w:cs="宋体"/>
                <w:bCs/>
                <w:kern w:val="0"/>
                <w:sz w:val="24"/>
              </w:rPr>
            </w:pPr>
            <w:r>
              <w:rPr>
                <w:rFonts w:hint="eastAsia" w:ascii="宋体" w:hAnsi="宋体" w:cs="宋体"/>
                <w:bCs/>
                <w:kern w:val="0"/>
                <w:sz w:val="24"/>
              </w:rPr>
              <w:t>合计</w:t>
            </w: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lang w:val="zh-CN"/>
              </w:rPr>
            </w:pPr>
          </w:p>
        </w:tc>
        <w:tc>
          <w:tcPr>
            <w:tcW w:w="2310" w:type="dxa"/>
          </w:tcPr>
          <w:p>
            <w:pPr>
              <w:snapToGrid w:val="0"/>
              <w:spacing w:line="300" w:lineRule="auto"/>
              <w:jc w:val="center"/>
              <w:outlineLvl w:val="0"/>
              <w:rPr>
                <w:rFonts w:ascii="宋体" w:hAnsi="宋体" w:cs="宋体"/>
                <w:bCs/>
                <w:kern w:val="0"/>
                <w:sz w:val="24"/>
                <w:lang w:val="zh-CN"/>
              </w:rPr>
            </w:pPr>
          </w:p>
        </w:tc>
      </w:tr>
    </w:tbl>
    <w:p>
      <w:pPr>
        <w:widowControl/>
        <w:jc w:val="left"/>
        <w:rPr>
          <w:rFonts w:ascii="宋体" w:hAnsi="宋体" w:cs="宋体"/>
          <w:sz w:val="32"/>
          <w:szCs w:val="32"/>
        </w:rPr>
      </w:pPr>
    </w:p>
    <w:p>
      <w:pPr>
        <w:tabs>
          <w:tab w:val="left" w:pos="4860"/>
        </w:tabs>
        <w:spacing w:line="588" w:lineRule="exact"/>
        <w:ind w:right="1560"/>
        <w:rPr>
          <w:rFonts w:ascii="宋体" w:hAnsi="宋体" w:cs="宋体"/>
          <w:sz w:val="24"/>
        </w:rPr>
      </w:pPr>
      <w:r>
        <w:rPr>
          <w:rFonts w:hint="eastAsia" w:ascii="宋体" w:hAnsi="宋体" w:cs="宋体"/>
          <w:sz w:val="32"/>
          <w:szCs w:val="32"/>
        </w:rPr>
        <w:t xml:space="preserve">                       </w:t>
      </w:r>
      <w:r>
        <w:rPr>
          <w:rFonts w:hint="eastAsia" w:ascii="宋体" w:hAnsi="宋体" w:cs="宋体"/>
          <w:sz w:val="24"/>
        </w:rPr>
        <w:t>投标供应商全称（盖章）：</w:t>
      </w:r>
    </w:p>
    <w:p>
      <w:pPr>
        <w:pStyle w:val="19"/>
      </w:pPr>
      <w:r>
        <w:rPr>
          <w:rFonts w:hint="eastAsia" w:ascii="宋体" w:hAnsi="宋体" w:cs="宋体"/>
        </w:rPr>
        <w:t xml:space="preserve">                                             日  期：</w:t>
      </w:r>
    </w:p>
    <w:p>
      <w:pPr>
        <w:widowControl/>
        <w:jc w:val="left"/>
        <w:rPr>
          <w:rFonts w:ascii="宋体" w:hAnsi="宋体" w:cs="宋体"/>
          <w:sz w:val="32"/>
          <w:szCs w:val="32"/>
        </w:rPr>
      </w:pPr>
    </w:p>
    <w:p>
      <w:pPr>
        <w:widowControl/>
        <w:jc w:val="left"/>
        <w:rPr>
          <w:rFonts w:ascii="宋体" w:hAnsi="宋体" w:cs="宋体"/>
          <w:b/>
          <w:kern w:val="0"/>
          <w:sz w:val="24"/>
        </w:rPr>
      </w:pPr>
      <w:r>
        <w:rPr>
          <w:rFonts w:hint="eastAsia" w:ascii="宋体" w:hAnsi="宋体" w:cs="宋体"/>
          <w:b/>
          <w:kern w:val="0"/>
          <w:sz w:val="24"/>
        </w:rPr>
        <w:t>注：若为联合体投标，双方均须加盖公章。</w:t>
      </w:r>
    </w:p>
    <w:p>
      <w:pPr>
        <w:widowControl/>
        <w:jc w:val="left"/>
        <w:rPr>
          <w:rFonts w:ascii="宋体" w:hAnsi="宋体" w:cs="宋体"/>
          <w:sz w:val="32"/>
          <w:szCs w:val="32"/>
        </w:rPr>
      </w:pPr>
    </w:p>
    <w:p>
      <w:pPr>
        <w:widowControl/>
        <w:jc w:val="left"/>
        <w:rPr>
          <w:rFonts w:ascii="宋体" w:hAnsi="宋体" w:cs="宋体"/>
          <w:sz w:val="32"/>
          <w:szCs w:val="32"/>
        </w:rPr>
      </w:pPr>
    </w:p>
    <w:p>
      <w:pPr>
        <w:widowControl/>
        <w:jc w:val="left"/>
        <w:rPr>
          <w:rFonts w:ascii="宋体" w:hAnsi="宋体" w:cs="宋体"/>
          <w:sz w:val="32"/>
          <w:szCs w:val="32"/>
        </w:rPr>
      </w:pPr>
    </w:p>
    <w:p>
      <w:pPr>
        <w:widowControl/>
        <w:jc w:val="left"/>
        <w:rPr>
          <w:rFonts w:ascii="宋体" w:hAnsi="宋体" w:cs="宋体"/>
          <w:sz w:val="32"/>
          <w:szCs w:val="32"/>
        </w:rPr>
      </w:pPr>
    </w:p>
    <w:p>
      <w:pPr>
        <w:widowControl/>
        <w:jc w:val="left"/>
        <w:rPr>
          <w:rFonts w:ascii="宋体" w:hAnsi="宋体" w:cs="宋体"/>
          <w:sz w:val="32"/>
          <w:szCs w:val="32"/>
        </w:rPr>
      </w:pPr>
    </w:p>
    <w:p>
      <w:pPr>
        <w:widowControl/>
        <w:jc w:val="left"/>
        <w:rPr>
          <w:rFonts w:ascii="宋体" w:hAnsi="宋体" w:cs="宋体"/>
          <w:sz w:val="32"/>
          <w:szCs w:val="32"/>
        </w:rPr>
      </w:pPr>
    </w:p>
    <w:p>
      <w:pPr>
        <w:widowControl/>
        <w:jc w:val="left"/>
        <w:rPr>
          <w:rFonts w:ascii="宋体" w:hAnsi="宋体" w:cs="宋体"/>
          <w:sz w:val="32"/>
          <w:szCs w:val="32"/>
        </w:rPr>
      </w:pPr>
    </w:p>
    <w:p>
      <w:pPr>
        <w:widowControl/>
        <w:jc w:val="left"/>
        <w:rPr>
          <w:rFonts w:ascii="宋体" w:hAnsi="宋体" w:cs="宋体"/>
          <w:sz w:val="32"/>
          <w:szCs w:val="32"/>
        </w:rPr>
      </w:pPr>
    </w:p>
    <w:p>
      <w:pPr>
        <w:widowControl/>
        <w:jc w:val="left"/>
        <w:rPr>
          <w:rFonts w:ascii="宋体" w:hAnsi="宋体" w:cs="宋体"/>
          <w:sz w:val="32"/>
          <w:szCs w:val="32"/>
        </w:rPr>
      </w:pPr>
    </w:p>
    <w:p>
      <w:pPr>
        <w:widowControl/>
        <w:jc w:val="left"/>
        <w:rPr>
          <w:rFonts w:ascii="宋体" w:hAnsi="宋体" w:cs="宋体"/>
          <w:sz w:val="32"/>
          <w:szCs w:val="32"/>
        </w:rPr>
      </w:pPr>
    </w:p>
    <w:p>
      <w:pPr>
        <w:widowControl/>
        <w:jc w:val="left"/>
        <w:rPr>
          <w:rFonts w:ascii="宋体" w:hAnsi="宋体" w:cs="宋体"/>
          <w:sz w:val="32"/>
          <w:szCs w:val="32"/>
        </w:rPr>
      </w:pPr>
    </w:p>
    <w:p>
      <w:pPr>
        <w:widowControl/>
        <w:jc w:val="left"/>
        <w:rPr>
          <w:rFonts w:ascii="宋体" w:hAnsi="宋体" w:cs="宋体"/>
          <w:sz w:val="32"/>
          <w:szCs w:val="32"/>
        </w:rPr>
      </w:pPr>
    </w:p>
    <w:p>
      <w:pPr>
        <w:widowControl/>
        <w:jc w:val="left"/>
        <w:rPr>
          <w:rFonts w:ascii="宋体" w:hAnsi="宋体" w:cs="宋体"/>
          <w:sz w:val="32"/>
          <w:szCs w:val="32"/>
        </w:rPr>
      </w:pPr>
      <w:r>
        <w:rPr>
          <w:rFonts w:hint="eastAsia" w:ascii="宋体" w:hAnsi="宋体" w:cs="宋体"/>
          <w:sz w:val="32"/>
          <w:szCs w:val="32"/>
        </w:rPr>
        <w:t>附件11</w:t>
      </w:r>
    </w:p>
    <w:p>
      <w:pPr>
        <w:snapToGrid w:val="0"/>
        <w:spacing w:line="300" w:lineRule="auto"/>
        <w:jc w:val="center"/>
        <w:outlineLvl w:val="0"/>
        <w:rPr>
          <w:b/>
          <w:bCs/>
          <w:sz w:val="30"/>
          <w:szCs w:val="30"/>
          <w:lang w:bidi="zh-CN"/>
        </w:rPr>
      </w:pPr>
      <w:r>
        <w:rPr>
          <w:b/>
          <w:bCs/>
          <w:sz w:val="30"/>
          <w:szCs w:val="30"/>
          <w:lang w:bidi="zh-CN"/>
        </w:rPr>
        <w:t>中小企业声明函（工程、服务）</w:t>
      </w:r>
    </w:p>
    <w:p>
      <w:pPr>
        <w:snapToGrid w:val="0"/>
        <w:spacing w:line="360" w:lineRule="auto"/>
        <w:ind w:firstLine="480" w:firstLineChars="200"/>
        <w:outlineLvl w:val="0"/>
        <w:rPr>
          <w:rFonts w:ascii="宋体" w:hAnsi="宋体"/>
          <w:sz w:val="24"/>
          <w:lang w:bidi="zh-CN"/>
        </w:rPr>
      </w:pPr>
      <w:r>
        <w:rPr>
          <w:rFonts w:ascii="宋体" w:hAnsi="宋体"/>
          <w:sz w:val="24"/>
          <w:lang w:bidi="zh-CN"/>
        </w:rPr>
        <w:t>本公司（联合体）郑重声明，根据《政府采购促进中小企业发展管理办法》（财库</w:t>
      </w:r>
      <w:r>
        <w:rPr>
          <w:rFonts w:hint="eastAsia" w:ascii="宋体" w:hAnsi="宋体"/>
          <w:sz w:val="24"/>
          <w:lang w:bidi="zh-CN"/>
        </w:rPr>
        <w:t>﹝</w:t>
      </w:r>
      <w:r>
        <w:rPr>
          <w:rFonts w:ascii="宋体" w:hAnsi="宋体"/>
          <w:sz w:val="24"/>
          <w:lang w:bidi="zh-CN"/>
        </w:rPr>
        <w:t>2020</w:t>
      </w:r>
      <w:r>
        <w:rPr>
          <w:rFonts w:hint="eastAsia" w:ascii="宋体" w:hAnsi="宋体"/>
          <w:sz w:val="24"/>
          <w:lang w:bidi="zh-CN"/>
        </w:rPr>
        <w:t>﹞</w:t>
      </w:r>
      <w:r>
        <w:rPr>
          <w:rFonts w:ascii="宋体" w:hAnsi="宋体"/>
          <w:sz w:val="24"/>
          <w:lang w:bidi="zh-CN"/>
        </w:rPr>
        <w:t>46 号）的规定，本公司（联合体）参加</w:t>
      </w:r>
      <w:r>
        <w:rPr>
          <w:rFonts w:ascii="宋体" w:hAnsi="宋体"/>
          <w:sz w:val="24"/>
          <w:u w:val="single"/>
          <w:lang w:bidi="zh-CN"/>
        </w:rPr>
        <w:t>（单位名称）</w:t>
      </w:r>
      <w:r>
        <w:rPr>
          <w:rFonts w:ascii="宋体" w:hAnsi="宋体"/>
          <w:sz w:val="24"/>
          <w:lang w:bidi="zh-CN"/>
        </w:rPr>
        <w:t>的</w:t>
      </w:r>
      <w:r>
        <w:rPr>
          <w:rFonts w:ascii="宋体" w:hAnsi="宋体"/>
          <w:sz w:val="24"/>
          <w:u w:val="single"/>
          <w:lang w:bidi="zh-CN"/>
        </w:rPr>
        <w:t>（项目名称）</w:t>
      </w:r>
      <w:r>
        <w:rPr>
          <w:rFonts w:ascii="宋体" w:hAnsi="宋体"/>
          <w:sz w:val="24"/>
          <w:lang w:bidi="zh-CN"/>
        </w:rPr>
        <w:t>采购活动，工程的施工单位全部为符合政策要求的中小企业（或者：服务全部由符合政策要求的中小企业承接）。相关企业（含联合 体中的中小企业、签订分包意向协议的中小企业）的具体情况如下：</w:t>
      </w:r>
    </w:p>
    <w:p>
      <w:pPr>
        <w:snapToGrid w:val="0"/>
        <w:spacing w:line="360" w:lineRule="auto"/>
        <w:ind w:firstLine="480" w:firstLineChars="200"/>
        <w:jc w:val="left"/>
        <w:outlineLvl w:val="0"/>
        <w:rPr>
          <w:rFonts w:ascii="宋体" w:hAnsi="宋体"/>
          <w:sz w:val="24"/>
          <w:lang w:bidi="zh-CN"/>
        </w:rPr>
      </w:pPr>
      <w:r>
        <w:rPr>
          <w:rFonts w:hint="eastAsia" w:ascii="宋体" w:hAnsi="宋体"/>
          <w:sz w:val="24"/>
          <w:lang w:bidi="zh-CN"/>
        </w:rPr>
        <w:t>1.</w:t>
      </w:r>
      <w:r>
        <w:rPr>
          <w:rFonts w:ascii="宋体" w:hAnsi="宋体"/>
          <w:sz w:val="24"/>
          <w:u w:val="single"/>
          <w:lang w:bidi="zh-CN"/>
        </w:rPr>
        <w:t>（标的名称）</w:t>
      </w:r>
      <w:r>
        <w:rPr>
          <w:rFonts w:ascii="宋体" w:hAnsi="宋体"/>
          <w:sz w:val="24"/>
          <w:lang w:bidi="zh-CN"/>
        </w:rPr>
        <w:t>，属于（</w:t>
      </w:r>
      <w:r>
        <w:rPr>
          <w:rFonts w:ascii="宋体" w:hAnsi="宋体"/>
          <w:sz w:val="24"/>
          <w:u w:val="single"/>
          <w:lang w:bidi="zh-CN"/>
        </w:rPr>
        <w:t>采购文件中明确的所属行业）</w:t>
      </w:r>
      <w:r>
        <w:rPr>
          <w:rFonts w:ascii="宋体" w:hAnsi="宋体"/>
          <w:sz w:val="24"/>
          <w:lang w:bidi="zh-CN"/>
        </w:rPr>
        <w:t>；承建（承接）企业为</w:t>
      </w:r>
      <w:r>
        <w:rPr>
          <w:rFonts w:ascii="宋体" w:hAnsi="宋体"/>
          <w:sz w:val="24"/>
          <w:u w:val="single"/>
          <w:lang w:bidi="zh-CN"/>
        </w:rPr>
        <w:t>（企业名称）</w:t>
      </w:r>
      <w:r>
        <w:rPr>
          <w:rFonts w:ascii="宋体" w:hAnsi="宋体"/>
          <w:sz w:val="24"/>
          <w:lang w:bidi="zh-CN"/>
        </w:rPr>
        <w:t>，从业人员</w:t>
      </w:r>
      <w:r>
        <w:rPr>
          <w:rFonts w:ascii="宋体" w:hAnsi="宋体"/>
          <w:sz w:val="24"/>
          <w:u w:val="single"/>
          <w:lang w:bidi="zh-CN"/>
        </w:rPr>
        <w:t xml:space="preserve"> </w:t>
      </w:r>
      <w:r>
        <w:rPr>
          <w:rFonts w:ascii="宋体" w:hAnsi="宋体"/>
          <w:sz w:val="24"/>
          <w:u w:val="single"/>
          <w:lang w:bidi="zh-CN"/>
        </w:rPr>
        <w:tab/>
      </w:r>
      <w:r>
        <w:rPr>
          <w:rFonts w:ascii="宋体" w:hAnsi="宋体"/>
          <w:sz w:val="24"/>
          <w:lang w:bidi="zh-CN"/>
        </w:rPr>
        <w:t>人，营业收入为</w:t>
      </w:r>
      <w:r>
        <w:rPr>
          <w:rFonts w:ascii="宋体" w:hAnsi="宋体"/>
          <w:sz w:val="24"/>
          <w:u w:val="single"/>
          <w:lang w:bidi="zh-CN"/>
        </w:rPr>
        <w:t xml:space="preserve"> </w:t>
      </w:r>
      <w:r>
        <w:rPr>
          <w:rFonts w:ascii="宋体" w:hAnsi="宋体"/>
          <w:sz w:val="24"/>
          <w:u w:val="single"/>
          <w:lang w:bidi="zh-CN"/>
        </w:rPr>
        <w:tab/>
      </w:r>
      <w:r>
        <w:rPr>
          <w:rFonts w:ascii="宋体" w:hAnsi="宋体"/>
          <w:sz w:val="24"/>
          <w:lang w:bidi="zh-CN"/>
        </w:rPr>
        <w:t>万元，资产总额为</w:t>
      </w:r>
      <w:r>
        <w:rPr>
          <w:rFonts w:ascii="宋体" w:hAnsi="宋体"/>
          <w:sz w:val="24"/>
          <w:u w:val="single"/>
          <w:lang w:bidi="zh-CN"/>
        </w:rPr>
        <w:t xml:space="preserve"> </w:t>
      </w:r>
      <w:r>
        <w:rPr>
          <w:rFonts w:ascii="宋体" w:hAnsi="宋体"/>
          <w:sz w:val="24"/>
          <w:u w:val="single"/>
          <w:lang w:bidi="zh-CN"/>
        </w:rPr>
        <w:tab/>
      </w:r>
      <w:r>
        <w:rPr>
          <w:rFonts w:ascii="宋体" w:hAnsi="宋体"/>
          <w:sz w:val="24"/>
          <w:lang w:bidi="zh-CN"/>
        </w:rPr>
        <w:t>万元，属于</w:t>
      </w:r>
      <w:r>
        <w:rPr>
          <w:rFonts w:ascii="宋体" w:hAnsi="宋体"/>
          <w:sz w:val="24"/>
          <w:u w:val="single"/>
          <w:lang w:bidi="zh-CN"/>
        </w:rPr>
        <w:t>（中型企业、小型企业、微型企业）</w:t>
      </w:r>
      <w:r>
        <w:rPr>
          <w:rFonts w:ascii="宋体" w:hAnsi="宋体"/>
          <w:sz w:val="24"/>
          <w:lang w:bidi="zh-CN"/>
        </w:rPr>
        <w:t>；</w:t>
      </w:r>
    </w:p>
    <w:p>
      <w:pPr>
        <w:snapToGrid w:val="0"/>
        <w:spacing w:line="360" w:lineRule="auto"/>
        <w:ind w:firstLine="480" w:firstLineChars="200"/>
        <w:jc w:val="left"/>
        <w:outlineLvl w:val="0"/>
        <w:rPr>
          <w:rFonts w:ascii="宋体" w:hAnsi="宋体"/>
          <w:sz w:val="24"/>
          <w:lang w:bidi="zh-CN"/>
        </w:rPr>
      </w:pPr>
      <w:r>
        <w:rPr>
          <w:rFonts w:hint="eastAsia" w:ascii="宋体" w:hAnsi="宋体"/>
          <w:sz w:val="24"/>
          <w:lang w:bidi="zh-CN"/>
        </w:rPr>
        <w:t>2.</w:t>
      </w:r>
      <w:r>
        <w:rPr>
          <w:rFonts w:ascii="宋体" w:hAnsi="宋体"/>
          <w:sz w:val="24"/>
          <w:u w:val="single"/>
          <w:lang w:bidi="zh-CN"/>
        </w:rPr>
        <w:t>（标的名称）</w:t>
      </w:r>
      <w:r>
        <w:rPr>
          <w:rFonts w:ascii="宋体" w:hAnsi="宋体"/>
          <w:sz w:val="24"/>
          <w:lang w:bidi="zh-CN"/>
        </w:rPr>
        <w:t>，属于（</w:t>
      </w:r>
      <w:r>
        <w:rPr>
          <w:rFonts w:ascii="宋体" w:hAnsi="宋体"/>
          <w:sz w:val="24"/>
          <w:u w:val="single"/>
          <w:lang w:bidi="zh-CN"/>
        </w:rPr>
        <w:t>采购文件中明确的所属行业）</w:t>
      </w:r>
      <w:r>
        <w:rPr>
          <w:rFonts w:ascii="宋体" w:hAnsi="宋体"/>
          <w:sz w:val="24"/>
          <w:lang w:bidi="zh-CN"/>
        </w:rPr>
        <w:t>；承建（承接）企业为</w:t>
      </w:r>
      <w:r>
        <w:rPr>
          <w:rFonts w:ascii="宋体" w:hAnsi="宋体"/>
          <w:sz w:val="24"/>
          <w:u w:val="single"/>
          <w:lang w:bidi="zh-CN"/>
        </w:rPr>
        <w:t>（企业名称）</w:t>
      </w:r>
      <w:r>
        <w:rPr>
          <w:rFonts w:ascii="宋体" w:hAnsi="宋体"/>
          <w:sz w:val="24"/>
          <w:lang w:bidi="zh-CN"/>
        </w:rPr>
        <w:t>，从业人员</w:t>
      </w:r>
      <w:r>
        <w:rPr>
          <w:rFonts w:ascii="宋体" w:hAnsi="宋体"/>
          <w:sz w:val="24"/>
          <w:u w:val="single"/>
          <w:lang w:bidi="zh-CN"/>
        </w:rPr>
        <w:t xml:space="preserve"> </w:t>
      </w:r>
      <w:r>
        <w:rPr>
          <w:rFonts w:ascii="宋体" w:hAnsi="宋体"/>
          <w:sz w:val="24"/>
          <w:u w:val="single"/>
          <w:lang w:bidi="zh-CN"/>
        </w:rPr>
        <w:tab/>
      </w:r>
      <w:r>
        <w:rPr>
          <w:rFonts w:ascii="宋体" w:hAnsi="宋体"/>
          <w:sz w:val="24"/>
          <w:lang w:bidi="zh-CN"/>
        </w:rPr>
        <w:t>人，营业收入为</w:t>
      </w:r>
      <w:r>
        <w:rPr>
          <w:rFonts w:ascii="宋体" w:hAnsi="宋体"/>
          <w:sz w:val="24"/>
          <w:u w:val="single"/>
          <w:lang w:bidi="zh-CN"/>
        </w:rPr>
        <w:t xml:space="preserve"> </w:t>
      </w:r>
      <w:r>
        <w:rPr>
          <w:rFonts w:ascii="宋体" w:hAnsi="宋体"/>
          <w:sz w:val="24"/>
          <w:u w:val="single"/>
          <w:lang w:bidi="zh-CN"/>
        </w:rPr>
        <w:tab/>
      </w:r>
      <w:r>
        <w:rPr>
          <w:rFonts w:ascii="宋体" w:hAnsi="宋体"/>
          <w:sz w:val="24"/>
          <w:lang w:bidi="zh-CN"/>
        </w:rPr>
        <w:t>万元，资产总额为</w:t>
      </w:r>
      <w:r>
        <w:rPr>
          <w:rFonts w:ascii="宋体" w:hAnsi="宋体"/>
          <w:sz w:val="24"/>
          <w:u w:val="single"/>
          <w:lang w:bidi="zh-CN"/>
        </w:rPr>
        <w:t xml:space="preserve"> </w:t>
      </w:r>
      <w:r>
        <w:rPr>
          <w:rFonts w:ascii="宋体" w:hAnsi="宋体"/>
          <w:sz w:val="24"/>
          <w:u w:val="single"/>
          <w:lang w:bidi="zh-CN"/>
        </w:rPr>
        <w:tab/>
      </w:r>
      <w:r>
        <w:rPr>
          <w:rFonts w:ascii="宋体" w:hAnsi="宋体"/>
          <w:sz w:val="24"/>
          <w:lang w:bidi="zh-CN"/>
        </w:rPr>
        <w:t>万元，属于</w:t>
      </w:r>
      <w:r>
        <w:rPr>
          <w:rFonts w:ascii="宋体" w:hAnsi="宋体"/>
          <w:sz w:val="24"/>
          <w:u w:val="single"/>
          <w:lang w:bidi="zh-CN"/>
        </w:rPr>
        <w:t>（中型企业、小型企业、微型企业）</w:t>
      </w:r>
      <w:r>
        <w:rPr>
          <w:rFonts w:ascii="宋体" w:hAnsi="宋体"/>
          <w:sz w:val="24"/>
          <w:lang w:bidi="zh-CN"/>
        </w:rPr>
        <w:t>；</w:t>
      </w:r>
    </w:p>
    <w:p>
      <w:pPr>
        <w:snapToGrid w:val="0"/>
        <w:spacing w:line="360" w:lineRule="auto"/>
        <w:jc w:val="left"/>
        <w:outlineLvl w:val="0"/>
        <w:rPr>
          <w:rFonts w:ascii="宋体" w:hAnsi="宋体"/>
          <w:sz w:val="24"/>
          <w:lang w:bidi="zh-CN"/>
        </w:rPr>
      </w:pPr>
      <w:r>
        <w:rPr>
          <w:rFonts w:ascii="宋体" w:hAnsi="宋体"/>
          <w:sz w:val="24"/>
          <w:lang w:bidi="zh-CN"/>
        </w:rPr>
        <w:t>……</w:t>
      </w:r>
    </w:p>
    <w:p>
      <w:pPr>
        <w:snapToGrid w:val="0"/>
        <w:spacing w:line="360" w:lineRule="auto"/>
        <w:ind w:firstLine="480" w:firstLineChars="200"/>
        <w:outlineLvl w:val="0"/>
        <w:rPr>
          <w:rFonts w:ascii="宋体" w:hAnsi="宋体"/>
          <w:sz w:val="24"/>
          <w:lang w:bidi="zh-CN"/>
        </w:rPr>
      </w:pPr>
      <w:r>
        <w:rPr>
          <w:rFonts w:ascii="宋体" w:hAnsi="宋体"/>
          <w:sz w:val="24"/>
          <w:lang w:bidi="zh-CN"/>
        </w:rPr>
        <w:t>以上企业，不属于大企业的分支机构，不存在控股股东为大企业的情形，也不存在与大企业的负责人为同一人的情形。</w:t>
      </w:r>
    </w:p>
    <w:p>
      <w:pPr>
        <w:snapToGrid w:val="0"/>
        <w:spacing w:line="360" w:lineRule="auto"/>
        <w:ind w:firstLine="480" w:firstLineChars="200"/>
        <w:outlineLvl w:val="0"/>
        <w:rPr>
          <w:rFonts w:ascii="宋体" w:hAnsi="宋体"/>
          <w:sz w:val="24"/>
          <w:lang w:bidi="zh-CN"/>
        </w:rPr>
      </w:pPr>
      <w:r>
        <w:rPr>
          <w:rFonts w:ascii="宋体" w:hAnsi="宋体"/>
          <w:sz w:val="24"/>
          <w:lang w:bidi="zh-CN"/>
        </w:rPr>
        <w:t>本企业对上述声明内容的真实性负责。如有虚假，将依法承担相应责任。</w:t>
      </w:r>
    </w:p>
    <w:p>
      <w:pPr>
        <w:snapToGrid w:val="0"/>
        <w:spacing w:line="300" w:lineRule="auto"/>
        <w:outlineLvl w:val="0"/>
        <w:rPr>
          <w:sz w:val="28"/>
          <w:szCs w:val="28"/>
          <w:lang w:bidi="zh-CN"/>
        </w:rPr>
      </w:pPr>
    </w:p>
    <w:p>
      <w:pPr>
        <w:snapToGrid w:val="0"/>
        <w:spacing w:line="300" w:lineRule="auto"/>
        <w:outlineLvl w:val="0"/>
        <w:rPr>
          <w:sz w:val="28"/>
          <w:szCs w:val="28"/>
          <w:lang w:bidi="zh-CN"/>
        </w:rPr>
      </w:pPr>
    </w:p>
    <w:p>
      <w:pPr>
        <w:snapToGrid w:val="0"/>
        <w:spacing w:line="300" w:lineRule="auto"/>
        <w:outlineLvl w:val="0"/>
        <w:rPr>
          <w:sz w:val="28"/>
          <w:szCs w:val="28"/>
          <w:lang w:bidi="zh-CN"/>
        </w:rPr>
      </w:pPr>
    </w:p>
    <w:p>
      <w:pPr>
        <w:snapToGrid w:val="0"/>
        <w:spacing w:line="300" w:lineRule="auto"/>
        <w:outlineLvl w:val="0"/>
        <w:rPr>
          <w:sz w:val="28"/>
          <w:szCs w:val="28"/>
          <w:lang w:bidi="zh-CN"/>
        </w:rPr>
      </w:pPr>
    </w:p>
    <w:p>
      <w:pPr>
        <w:snapToGrid w:val="0"/>
        <w:spacing w:line="300" w:lineRule="auto"/>
        <w:outlineLvl w:val="0"/>
        <w:rPr>
          <w:sz w:val="28"/>
          <w:szCs w:val="28"/>
          <w:lang w:bidi="zh-CN"/>
        </w:rPr>
      </w:pPr>
    </w:p>
    <w:p>
      <w:pPr>
        <w:snapToGrid w:val="0"/>
        <w:spacing w:line="300" w:lineRule="auto"/>
        <w:ind w:firstLine="4200" w:firstLineChars="1750"/>
        <w:outlineLvl w:val="0"/>
        <w:rPr>
          <w:sz w:val="24"/>
          <w:lang w:bidi="zh-CN"/>
        </w:rPr>
      </w:pPr>
      <w:r>
        <w:rPr>
          <w:sz w:val="24"/>
          <w:lang w:bidi="zh-CN"/>
        </w:rPr>
        <w:t>企业名称（盖章）：</w:t>
      </w:r>
    </w:p>
    <w:p>
      <w:pPr>
        <w:snapToGrid w:val="0"/>
        <w:spacing w:line="300" w:lineRule="auto"/>
        <w:ind w:firstLine="4200" w:firstLineChars="1750"/>
        <w:outlineLvl w:val="0"/>
        <w:rPr>
          <w:sz w:val="24"/>
          <w:lang w:bidi="zh-CN"/>
        </w:rPr>
      </w:pPr>
      <w:r>
        <w:rPr>
          <w:sz w:val="24"/>
          <w:lang w:bidi="zh-CN"/>
        </w:rPr>
        <w:t>日期：</w:t>
      </w:r>
    </w:p>
    <w:p>
      <w:pPr>
        <w:snapToGrid w:val="0"/>
        <w:spacing w:line="300" w:lineRule="auto"/>
        <w:jc w:val="center"/>
        <w:outlineLvl w:val="0"/>
        <w:rPr>
          <w:sz w:val="28"/>
          <w:szCs w:val="28"/>
          <w:lang w:bidi="zh-CN"/>
        </w:rPr>
      </w:pPr>
    </w:p>
    <w:p>
      <w:pPr>
        <w:snapToGrid w:val="0"/>
        <w:spacing w:line="300" w:lineRule="auto"/>
        <w:outlineLvl w:val="0"/>
        <w:rPr>
          <w:sz w:val="28"/>
          <w:szCs w:val="28"/>
        </w:rPr>
      </w:pPr>
    </w:p>
    <w:p>
      <w:pPr>
        <w:widowControl/>
        <w:jc w:val="left"/>
        <w:rPr>
          <w:rFonts w:ascii="宋体" w:hAnsi="宋体" w:cs="宋体"/>
          <w:sz w:val="32"/>
          <w:szCs w:val="32"/>
        </w:rPr>
      </w:pPr>
      <w:r>
        <w:rPr>
          <w:rFonts w:ascii="宋体" w:hAnsi="宋体" w:cs="宋体"/>
          <w:sz w:val="32"/>
          <w:szCs w:val="32"/>
        </w:rPr>
        <w:br w:type="page"/>
      </w:r>
    </w:p>
    <w:p>
      <w:pPr>
        <w:snapToGrid w:val="0"/>
        <w:spacing w:line="300" w:lineRule="auto"/>
        <w:outlineLvl w:val="0"/>
        <w:rPr>
          <w:rFonts w:ascii="宋体" w:hAnsi="宋体" w:cs="宋体"/>
          <w:sz w:val="32"/>
          <w:szCs w:val="32"/>
        </w:rPr>
      </w:pPr>
      <w:r>
        <w:rPr>
          <w:rFonts w:hint="eastAsia" w:ascii="宋体" w:hAnsi="宋体" w:cs="宋体"/>
          <w:sz w:val="32"/>
          <w:szCs w:val="32"/>
        </w:rPr>
        <w:t>附件12</w:t>
      </w:r>
    </w:p>
    <w:p>
      <w:pPr>
        <w:spacing w:line="460" w:lineRule="exact"/>
        <w:jc w:val="center"/>
        <w:rPr>
          <w:rFonts w:ascii="宋体" w:hAnsi="宋体" w:cs="宋体"/>
          <w:b/>
          <w:sz w:val="30"/>
          <w:szCs w:val="30"/>
        </w:rPr>
      </w:pPr>
      <w:r>
        <w:rPr>
          <w:rFonts w:hint="eastAsia" w:ascii="宋体" w:hAnsi="宋体" w:cs="宋体"/>
          <w:b/>
          <w:sz w:val="30"/>
          <w:szCs w:val="30"/>
        </w:rPr>
        <w:t>残疾人福利性单位声明函</w:t>
      </w:r>
    </w:p>
    <w:p>
      <w:pPr>
        <w:spacing w:line="588" w:lineRule="exact"/>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中国残疾人联合会关于促进残疾人就业政府采购政策的通知》（财库〔2017〕141号）的规定，本单位为符合条件的残疾人福利性单位，且本单位参加______单位的项目编号为______的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588" w:lineRule="exact"/>
        <w:ind w:firstLine="480" w:firstLineChars="200"/>
        <w:rPr>
          <w:rFonts w:ascii="宋体" w:hAnsi="宋体" w:cs="宋体"/>
          <w:sz w:val="24"/>
        </w:rPr>
      </w:pPr>
      <w:r>
        <w:rPr>
          <w:rFonts w:hint="eastAsia" w:ascii="宋体" w:hAnsi="宋体" w:cs="宋体"/>
          <w:sz w:val="24"/>
        </w:rPr>
        <w:t>（备注：1、投标供应商如不提供此声明函，价格将不做相应扣除。2、成交供应商为残疾人福利单位的，此声明函将随中标（或成交）结果同时公告，接受社会监督）</w:t>
      </w:r>
    </w:p>
    <w:p>
      <w:pPr>
        <w:spacing w:line="588" w:lineRule="exact"/>
        <w:ind w:firstLine="504" w:firstLineChars="200"/>
        <w:rPr>
          <w:rFonts w:ascii="宋体" w:hAnsi="宋体" w:cs="宋体"/>
          <w:spacing w:val="6"/>
          <w:sz w:val="24"/>
        </w:rPr>
      </w:pPr>
    </w:p>
    <w:p>
      <w:pPr>
        <w:spacing w:line="588" w:lineRule="exact"/>
        <w:ind w:firstLine="584" w:firstLineChars="200"/>
        <w:rPr>
          <w:rFonts w:ascii="宋体" w:hAnsi="宋体" w:cs="宋体"/>
          <w:spacing w:val="6"/>
          <w:sz w:val="28"/>
          <w:szCs w:val="28"/>
        </w:rPr>
      </w:pPr>
    </w:p>
    <w:p>
      <w:pPr>
        <w:spacing w:line="588" w:lineRule="exact"/>
        <w:ind w:firstLine="584" w:firstLineChars="200"/>
        <w:rPr>
          <w:rFonts w:ascii="宋体" w:hAnsi="宋体" w:cs="宋体"/>
          <w:spacing w:val="6"/>
          <w:sz w:val="28"/>
          <w:szCs w:val="28"/>
        </w:rPr>
      </w:pPr>
    </w:p>
    <w:p>
      <w:pPr>
        <w:spacing w:line="588" w:lineRule="exact"/>
        <w:ind w:firstLine="584" w:firstLineChars="200"/>
        <w:rPr>
          <w:rFonts w:ascii="宋体" w:hAnsi="宋体" w:cs="宋体"/>
          <w:spacing w:val="6"/>
          <w:sz w:val="28"/>
          <w:szCs w:val="28"/>
        </w:rPr>
      </w:pPr>
    </w:p>
    <w:p>
      <w:pPr>
        <w:tabs>
          <w:tab w:val="left" w:pos="4860"/>
        </w:tabs>
        <w:spacing w:line="588" w:lineRule="exact"/>
        <w:ind w:right="1560" w:firstLine="584" w:firstLineChars="200"/>
        <w:jc w:val="center"/>
        <w:rPr>
          <w:rFonts w:ascii="宋体" w:hAnsi="宋体" w:cs="宋体"/>
          <w:sz w:val="24"/>
        </w:rPr>
      </w:pPr>
      <w:r>
        <w:rPr>
          <w:rFonts w:hint="eastAsia" w:ascii="宋体" w:hAnsi="宋体" w:cs="宋体"/>
          <w:spacing w:val="6"/>
          <w:sz w:val="28"/>
          <w:szCs w:val="28"/>
        </w:rPr>
        <w:t xml:space="preserve">             </w:t>
      </w:r>
      <w:r>
        <w:rPr>
          <w:rFonts w:hint="eastAsia" w:ascii="宋体" w:hAnsi="宋体" w:cs="宋体"/>
          <w:sz w:val="28"/>
          <w:szCs w:val="28"/>
        </w:rPr>
        <w:t xml:space="preserve">      </w:t>
      </w:r>
      <w:r>
        <w:rPr>
          <w:rFonts w:hint="eastAsia" w:ascii="宋体" w:hAnsi="宋体" w:cs="宋体"/>
          <w:sz w:val="24"/>
        </w:rPr>
        <w:t xml:space="preserve">  投标供应商全称（盖章）：</w:t>
      </w:r>
    </w:p>
    <w:p>
      <w:pPr>
        <w:tabs>
          <w:tab w:val="left" w:pos="4860"/>
        </w:tabs>
        <w:spacing w:line="588" w:lineRule="exact"/>
        <w:ind w:right="1560" w:firstLine="480" w:firstLineChars="200"/>
        <w:jc w:val="center"/>
        <w:rPr>
          <w:rFonts w:ascii="宋体" w:hAnsi="宋体" w:cs="宋体"/>
          <w:sz w:val="24"/>
        </w:rPr>
      </w:pPr>
      <w:r>
        <w:rPr>
          <w:rFonts w:hint="eastAsia" w:ascii="宋体" w:hAnsi="宋体" w:cs="宋体"/>
          <w:sz w:val="24"/>
        </w:rPr>
        <w:t xml:space="preserve">              日  期：</w:t>
      </w:r>
    </w:p>
    <w:p>
      <w:pPr>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widowControl/>
        <w:jc w:val="left"/>
        <w:rPr>
          <w:rFonts w:ascii="宋体" w:hAnsi="宋体" w:cs="宋体"/>
          <w:sz w:val="32"/>
          <w:szCs w:val="32"/>
        </w:rPr>
      </w:pPr>
      <w:r>
        <w:rPr>
          <w:rFonts w:ascii="宋体" w:hAnsi="宋体" w:cs="宋体"/>
          <w:sz w:val="32"/>
          <w:szCs w:val="32"/>
        </w:rPr>
        <w:br w:type="page"/>
      </w:r>
    </w:p>
    <w:p>
      <w:pPr>
        <w:snapToGrid w:val="0"/>
        <w:spacing w:line="300" w:lineRule="auto"/>
        <w:outlineLvl w:val="0"/>
        <w:rPr>
          <w:rFonts w:ascii="宋体" w:hAnsi="宋体" w:cs="宋体"/>
          <w:sz w:val="32"/>
          <w:szCs w:val="32"/>
        </w:rPr>
      </w:pPr>
      <w:r>
        <w:rPr>
          <w:rFonts w:hint="eastAsia" w:ascii="宋体" w:hAnsi="宋体" w:cs="宋体"/>
          <w:sz w:val="32"/>
          <w:szCs w:val="32"/>
        </w:rPr>
        <w:t>附件13</w:t>
      </w:r>
    </w:p>
    <w:p>
      <w:pPr>
        <w:snapToGrid w:val="0"/>
        <w:spacing w:line="420" w:lineRule="exact"/>
        <w:jc w:val="center"/>
        <w:outlineLvl w:val="3"/>
        <w:rPr>
          <w:rFonts w:ascii="宋体" w:hAnsi="宋体" w:cs="宋体"/>
          <w:b/>
          <w:bCs/>
          <w:sz w:val="30"/>
          <w:szCs w:val="30"/>
        </w:rPr>
      </w:pPr>
      <w:r>
        <w:rPr>
          <w:rFonts w:hint="eastAsia" w:ascii="宋体" w:hAnsi="宋体" w:cs="宋体"/>
          <w:b/>
          <w:bCs/>
          <w:sz w:val="30"/>
          <w:szCs w:val="30"/>
        </w:rPr>
        <w:t>监狱和戒毒企业证明材料</w:t>
      </w:r>
    </w:p>
    <w:p>
      <w:pPr>
        <w:snapToGrid w:val="0"/>
        <w:spacing w:line="420" w:lineRule="exact"/>
        <w:ind w:firstLine="531" w:firstLineChars="177"/>
        <w:rPr>
          <w:rFonts w:ascii="宋体" w:hAnsi="宋体" w:cs="宋体"/>
          <w:sz w:val="30"/>
          <w:szCs w:val="30"/>
        </w:rPr>
      </w:pPr>
    </w:p>
    <w:p>
      <w:pPr>
        <w:snapToGrid w:val="0"/>
        <w:spacing w:line="420" w:lineRule="exact"/>
        <w:ind w:firstLine="498" w:firstLineChars="177"/>
        <w:jc w:val="center"/>
        <w:rPr>
          <w:rFonts w:ascii="宋体" w:hAnsi="宋体" w:cs="宋体"/>
          <w:b/>
          <w:sz w:val="28"/>
          <w:szCs w:val="28"/>
        </w:rPr>
      </w:pPr>
      <w:r>
        <w:rPr>
          <w:rFonts w:hint="eastAsia" w:ascii="宋体" w:hAnsi="宋体" w:cs="宋体"/>
          <w:b/>
          <w:sz w:val="28"/>
          <w:szCs w:val="28"/>
        </w:rPr>
        <w:t>（格式自拟）</w:t>
      </w:r>
    </w:p>
    <w:p>
      <w:pPr>
        <w:snapToGrid w:val="0"/>
        <w:spacing w:line="420" w:lineRule="exact"/>
        <w:ind w:firstLine="495" w:firstLineChars="177"/>
        <w:rPr>
          <w:rFonts w:ascii="宋体" w:hAnsi="宋体" w:cs="宋体"/>
          <w:sz w:val="28"/>
          <w:szCs w:val="28"/>
        </w:rPr>
      </w:pPr>
    </w:p>
    <w:p>
      <w:pPr>
        <w:snapToGrid w:val="0"/>
        <w:spacing w:line="420" w:lineRule="exact"/>
        <w:ind w:firstLine="566" w:firstLineChars="236"/>
        <w:rPr>
          <w:rFonts w:ascii="宋体" w:hAnsi="宋体" w:cs="宋体"/>
          <w:sz w:val="24"/>
        </w:rPr>
      </w:pPr>
      <w:r>
        <w:rPr>
          <w:rFonts w:hint="eastAsia" w:ascii="宋体" w:hAnsi="宋体" w:cs="宋体"/>
          <w:sz w:val="24"/>
        </w:rPr>
        <w:t>根据《财政部司法部关于政府采购支持监狱企业发展有关问题的通知》（财库〔2014〕68号），监狱企业参加政府采购活动时，应当提供由省级以上监狱管理局、戒毒管理局（含新疆生产建设兵团）出具的，投标供应商属于监狱企业的证明文件。</w:t>
      </w:r>
    </w:p>
    <w:p>
      <w:pPr>
        <w:snapToGrid w:val="0"/>
        <w:spacing w:line="300" w:lineRule="auto"/>
        <w:outlineLvl w:val="0"/>
        <w:rPr>
          <w:rFonts w:ascii="宋体" w:hAnsi="宋体" w:cs="宋体"/>
          <w:sz w:val="24"/>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snapToGrid w:val="0"/>
        <w:spacing w:line="300" w:lineRule="auto"/>
        <w:outlineLvl w:val="0"/>
        <w:rPr>
          <w:rFonts w:ascii="宋体" w:hAnsi="宋体" w:cs="宋体"/>
          <w:sz w:val="28"/>
          <w:szCs w:val="28"/>
        </w:rPr>
      </w:pPr>
    </w:p>
    <w:p>
      <w:pPr>
        <w:widowControl/>
        <w:jc w:val="left"/>
        <w:rPr>
          <w:rFonts w:ascii="宋体" w:hAnsi="宋体" w:cs="宋体"/>
          <w:bCs/>
          <w:sz w:val="32"/>
          <w:szCs w:val="32"/>
        </w:rPr>
      </w:pPr>
      <w:r>
        <w:rPr>
          <w:rFonts w:ascii="宋体" w:hAnsi="宋体" w:cs="宋体"/>
          <w:bCs/>
          <w:sz w:val="32"/>
          <w:szCs w:val="32"/>
        </w:rPr>
        <w:br w:type="page"/>
      </w:r>
    </w:p>
    <w:p>
      <w:pPr>
        <w:snapToGrid w:val="0"/>
        <w:spacing w:line="300" w:lineRule="auto"/>
        <w:outlineLvl w:val="0"/>
        <w:rPr>
          <w:rFonts w:ascii="宋体" w:hAnsi="宋体" w:cs="宋体"/>
          <w:sz w:val="28"/>
          <w:szCs w:val="28"/>
        </w:rPr>
      </w:pPr>
      <w:r>
        <w:rPr>
          <w:rFonts w:hint="eastAsia" w:ascii="宋体" w:hAnsi="宋体" w:cs="宋体"/>
          <w:sz w:val="28"/>
          <w:szCs w:val="28"/>
        </w:rPr>
        <w:t>附件14</w:t>
      </w:r>
    </w:p>
    <w:p>
      <w:pPr>
        <w:jc w:val="center"/>
        <w:rPr>
          <w:rFonts w:ascii="宋体" w:hAnsi="宋体" w:cs="宋体"/>
          <w:b/>
          <w:bCs/>
          <w:sz w:val="30"/>
          <w:szCs w:val="30"/>
        </w:rPr>
      </w:pPr>
      <w:r>
        <w:rPr>
          <w:rFonts w:hint="eastAsia" w:ascii="宋体" w:hAnsi="宋体" w:cs="宋体"/>
          <w:b/>
          <w:bCs/>
          <w:sz w:val="30"/>
          <w:szCs w:val="30"/>
        </w:rPr>
        <w:t>质疑函范本</w:t>
      </w:r>
    </w:p>
    <w:p>
      <w:pPr>
        <w:adjustRightInd w:val="0"/>
        <w:snapToGrid w:val="0"/>
        <w:spacing w:beforeLines="100" w:line="360" w:lineRule="auto"/>
        <w:rPr>
          <w:rFonts w:ascii="宋体" w:hAnsi="宋体" w:cs="宋体"/>
          <w:bCs/>
          <w:sz w:val="24"/>
        </w:rPr>
      </w:pPr>
      <w:r>
        <w:rPr>
          <w:rFonts w:hint="eastAsia" w:ascii="宋体" w:hAnsi="宋体" w:cs="宋体"/>
          <w:bCs/>
          <w:sz w:val="24"/>
        </w:rPr>
        <w:t>一、质疑供应商基本信息</w:t>
      </w:r>
    </w:p>
    <w:p>
      <w:pPr>
        <w:adjustRightInd w:val="0"/>
        <w:snapToGrid w:val="0"/>
        <w:spacing w:line="360" w:lineRule="auto"/>
        <w:rPr>
          <w:rFonts w:ascii="宋体" w:hAnsi="宋体" w:cs="宋体"/>
          <w:sz w:val="24"/>
          <w:u w:val="dotted"/>
        </w:rPr>
      </w:pPr>
      <w:r>
        <w:rPr>
          <w:rFonts w:hint="eastAsia" w:ascii="宋体" w:hAnsi="宋体" w:cs="宋体"/>
          <w:sz w:val="24"/>
        </w:rPr>
        <w:t>质疑供应商：</w:t>
      </w:r>
    </w:p>
    <w:p>
      <w:pPr>
        <w:adjustRightInd w:val="0"/>
        <w:snapToGrid w:val="0"/>
        <w:spacing w:line="360" w:lineRule="auto"/>
        <w:rPr>
          <w:rFonts w:ascii="宋体" w:hAnsi="宋体" w:cs="宋体"/>
          <w:sz w:val="24"/>
        </w:rPr>
      </w:pPr>
      <w:r>
        <w:rPr>
          <w:rFonts w:hint="eastAsia" w:ascii="宋体" w:hAnsi="宋体" w:cs="宋体"/>
          <w:sz w:val="24"/>
        </w:rPr>
        <w:t>地址：                        邮编：</w:t>
      </w:r>
    </w:p>
    <w:p>
      <w:pPr>
        <w:adjustRightInd w:val="0"/>
        <w:snapToGrid w:val="0"/>
        <w:spacing w:line="360" w:lineRule="auto"/>
        <w:rPr>
          <w:rFonts w:ascii="宋体" w:hAnsi="宋体" w:cs="宋体"/>
          <w:sz w:val="24"/>
        </w:rPr>
      </w:pPr>
      <w:r>
        <w:rPr>
          <w:rFonts w:hint="eastAsia" w:ascii="宋体" w:hAnsi="宋体" w:cs="宋体"/>
          <w:sz w:val="24"/>
        </w:rPr>
        <w:t>联系人：                      联系电话：</w:t>
      </w:r>
    </w:p>
    <w:p>
      <w:pPr>
        <w:adjustRightInd w:val="0"/>
        <w:snapToGrid w:val="0"/>
        <w:spacing w:line="360" w:lineRule="auto"/>
        <w:rPr>
          <w:rFonts w:ascii="宋体" w:hAnsi="宋体" w:cs="宋体"/>
          <w:sz w:val="24"/>
          <w:u w:val="dotted"/>
        </w:rPr>
      </w:pPr>
      <w:r>
        <w:rPr>
          <w:rFonts w:hint="eastAsia" w:ascii="宋体" w:hAnsi="宋体" w:cs="宋体"/>
          <w:sz w:val="24"/>
        </w:rPr>
        <w:t>授权代表：</w:t>
      </w:r>
    </w:p>
    <w:p>
      <w:pPr>
        <w:adjustRightInd w:val="0"/>
        <w:snapToGrid w:val="0"/>
        <w:spacing w:line="360" w:lineRule="auto"/>
        <w:rPr>
          <w:rFonts w:ascii="宋体" w:hAnsi="宋体" w:cs="宋体"/>
          <w:sz w:val="24"/>
        </w:rPr>
      </w:pPr>
      <w:r>
        <w:rPr>
          <w:rFonts w:hint="eastAsia" w:ascii="宋体" w:hAnsi="宋体" w:cs="宋体"/>
          <w:sz w:val="24"/>
        </w:rPr>
        <w:t>联系电话：</w:t>
      </w:r>
    </w:p>
    <w:p>
      <w:pPr>
        <w:adjustRightInd w:val="0"/>
        <w:snapToGrid w:val="0"/>
        <w:spacing w:line="360" w:lineRule="auto"/>
        <w:rPr>
          <w:rFonts w:ascii="宋体" w:hAnsi="宋体" w:cs="宋体"/>
          <w:sz w:val="24"/>
        </w:rPr>
      </w:pPr>
      <w:r>
        <w:rPr>
          <w:rFonts w:hint="eastAsia" w:ascii="宋体" w:hAnsi="宋体" w:cs="宋体"/>
          <w:sz w:val="24"/>
        </w:rPr>
        <w:t>地址：                        邮编：</w:t>
      </w:r>
    </w:p>
    <w:p>
      <w:pPr>
        <w:adjustRightInd w:val="0"/>
        <w:snapToGrid w:val="0"/>
        <w:spacing w:line="360" w:lineRule="auto"/>
        <w:rPr>
          <w:rFonts w:ascii="宋体" w:hAnsi="宋体" w:cs="宋体"/>
          <w:bCs/>
          <w:sz w:val="24"/>
        </w:rPr>
      </w:pPr>
      <w:r>
        <w:rPr>
          <w:rFonts w:hint="eastAsia" w:ascii="宋体" w:hAnsi="宋体" w:cs="宋体"/>
          <w:bCs/>
          <w:sz w:val="24"/>
        </w:rPr>
        <w:t>二、质疑项目基本情况</w:t>
      </w:r>
    </w:p>
    <w:p>
      <w:pPr>
        <w:adjustRightInd w:val="0"/>
        <w:snapToGrid w:val="0"/>
        <w:spacing w:line="360" w:lineRule="auto"/>
        <w:rPr>
          <w:rFonts w:ascii="宋体" w:hAnsi="宋体" w:cs="宋体"/>
          <w:sz w:val="24"/>
        </w:rPr>
      </w:pPr>
      <w:r>
        <w:rPr>
          <w:rFonts w:hint="eastAsia" w:ascii="宋体" w:hAnsi="宋体" w:cs="宋体"/>
          <w:sz w:val="24"/>
        </w:rPr>
        <w:t>质疑项目的名称：</w:t>
      </w:r>
    </w:p>
    <w:p>
      <w:pPr>
        <w:adjustRightInd w:val="0"/>
        <w:snapToGrid w:val="0"/>
        <w:spacing w:line="360" w:lineRule="auto"/>
        <w:rPr>
          <w:rFonts w:ascii="宋体" w:hAnsi="宋体" w:cs="宋体"/>
          <w:sz w:val="24"/>
        </w:rPr>
      </w:pPr>
      <w:r>
        <w:rPr>
          <w:rFonts w:hint="eastAsia" w:ascii="宋体" w:hAnsi="宋体" w:cs="宋体"/>
          <w:sz w:val="24"/>
        </w:rPr>
        <w:t>质疑项目的编号：              包号：</w:t>
      </w:r>
    </w:p>
    <w:p>
      <w:pPr>
        <w:adjustRightInd w:val="0"/>
        <w:snapToGrid w:val="0"/>
        <w:spacing w:line="360" w:lineRule="auto"/>
        <w:rPr>
          <w:rFonts w:ascii="宋体" w:hAnsi="宋体" w:cs="宋体"/>
          <w:sz w:val="24"/>
          <w:u w:val="dotted"/>
        </w:rPr>
      </w:pPr>
      <w:r>
        <w:rPr>
          <w:rFonts w:hint="eastAsia" w:ascii="宋体" w:hAnsi="宋体" w:cs="宋体"/>
          <w:sz w:val="24"/>
        </w:rPr>
        <w:t>采购人名称：</w:t>
      </w:r>
    </w:p>
    <w:p>
      <w:pPr>
        <w:adjustRightInd w:val="0"/>
        <w:snapToGrid w:val="0"/>
        <w:spacing w:line="360" w:lineRule="auto"/>
        <w:rPr>
          <w:rFonts w:ascii="宋体" w:hAnsi="宋体" w:cs="宋体"/>
          <w:sz w:val="24"/>
        </w:rPr>
      </w:pPr>
      <w:r>
        <w:rPr>
          <w:rFonts w:hint="eastAsia" w:ascii="宋体" w:hAnsi="宋体" w:cs="宋体"/>
          <w:sz w:val="24"/>
        </w:rPr>
        <w:t>采购文件获取日期：</w:t>
      </w:r>
    </w:p>
    <w:p>
      <w:pPr>
        <w:adjustRightInd w:val="0"/>
        <w:snapToGrid w:val="0"/>
        <w:spacing w:line="360" w:lineRule="auto"/>
        <w:rPr>
          <w:rFonts w:ascii="宋体" w:hAnsi="宋体" w:cs="宋体"/>
          <w:bCs/>
          <w:sz w:val="24"/>
        </w:rPr>
      </w:pPr>
      <w:r>
        <w:rPr>
          <w:rFonts w:hint="eastAsia" w:ascii="宋体" w:hAnsi="宋体" w:cs="宋体"/>
          <w:bCs/>
          <w:sz w:val="24"/>
        </w:rPr>
        <w:t>三、质疑事项具体内容</w:t>
      </w:r>
    </w:p>
    <w:p>
      <w:pPr>
        <w:adjustRightInd w:val="0"/>
        <w:snapToGrid w:val="0"/>
        <w:spacing w:line="360" w:lineRule="auto"/>
        <w:rPr>
          <w:rFonts w:ascii="宋体" w:hAnsi="宋体" w:cs="宋体"/>
          <w:sz w:val="24"/>
          <w:u w:val="dotted"/>
        </w:rPr>
      </w:pPr>
      <w:r>
        <w:rPr>
          <w:rFonts w:hint="eastAsia" w:ascii="宋体" w:hAnsi="宋体" w:cs="宋体"/>
          <w:sz w:val="24"/>
        </w:rPr>
        <w:t>质疑事项1：</w:t>
      </w:r>
    </w:p>
    <w:p>
      <w:pPr>
        <w:adjustRightInd w:val="0"/>
        <w:snapToGrid w:val="0"/>
        <w:spacing w:line="360" w:lineRule="auto"/>
        <w:rPr>
          <w:rFonts w:ascii="宋体" w:hAnsi="宋体" w:cs="宋体"/>
          <w:sz w:val="24"/>
          <w:u w:val="dotted"/>
        </w:rPr>
      </w:pPr>
      <w:r>
        <w:rPr>
          <w:rFonts w:hint="eastAsia" w:ascii="宋体" w:hAnsi="宋体" w:cs="宋体"/>
          <w:sz w:val="24"/>
        </w:rPr>
        <w:t>事实依据：</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u w:val="dotted"/>
        </w:rPr>
      </w:pPr>
      <w:r>
        <w:rPr>
          <w:rFonts w:hint="eastAsia" w:ascii="宋体" w:hAnsi="宋体" w:cs="宋体"/>
          <w:sz w:val="24"/>
        </w:rPr>
        <w:t>法律依据：</w:t>
      </w:r>
    </w:p>
    <w:p>
      <w:pPr>
        <w:adjustRightInd w:val="0"/>
        <w:snapToGrid w:val="0"/>
        <w:spacing w:line="360" w:lineRule="auto"/>
        <w:rPr>
          <w:rFonts w:ascii="宋体" w:hAnsi="宋体" w:cs="宋体"/>
          <w:sz w:val="24"/>
          <w:u w:val="dotted"/>
        </w:rPr>
      </w:pPr>
    </w:p>
    <w:p>
      <w:pPr>
        <w:adjustRightInd w:val="0"/>
        <w:snapToGrid w:val="0"/>
        <w:spacing w:line="360" w:lineRule="auto"/>
        <w:rPr>
          <w:rFonts w:ascii="宋体" w:hAnsi="宋体" w:cs="宋体"/>
          <w:sz w:val="24"/>
          <w:u w:val="dotted"/>
        </w:rPr>
      </w:pPr>
      <w:r>
        <w:rPr>
          <w:rFonts w:hint="eastAsia" w:ascii="宋体" w:hAnsi="宋体" w:cs="宋体"/>
          <w:sz w:val="24"/>
        </w:rPr>
        <w:t>质疑事项2</w:t>
      </w:r>
    </w:p>
    <w:p>
      <w:pPr>
        <w:adjustRightInd w:val="0"/>
        <w:snapToGrid w:val="0"/>
        <w:spacing w:line="360" w:lineRule="auto"/>
        <w:rPr>
          <w:rFonts w:ascii="宋体" w:hAnsi="宋体" w:cs="宋体"/>
          <w:sz w:val="24"/>
        </w:rPr>
      </w:pPr>
      <w:r>
        <w:rPr>
          <w:rFonts w:hint="eastAsia" w:ascii="宋体" w:hAnsi="宋体" w:cs="宋体"/>
          <w:sz w:val="24"/>
        </w:rPr>
        <w:t>……</w:t>
      </w:r>
    </w:p>
    <w:p>
      <w:pPr>
        <w:adjustRightInd w:val="0"/>
        <w:snapToGrid w:val="0"/>
        <w:spacing w:line="360" w:lineRule="auto"/>
        <w:rPr>
          <w:rFonts w:ascii="宋体" w:hAnsi="宋体" w:cs="宋体"/>
          <w:bCs/>
          <w:sz w:val="24"/>
        </w:rPr>
      </w:pPr>
      <w:r>
        <w:rPr>
          <w:rFonts w:hint="eastAsia" w:ascii="宋体" w:hAnsi="宋体" w:cs="宋体"/>
          <w:bCs/>
          <w:sz w:val="24"/>
        </w:rPr>
        <w:t>四、与质疑事项相关的质疑请求</w:t>
      </w:r>
    </w:p>
    <w:p>
      <w:pPr>
        <w:adjustRightInd w:val="0"/>
        <w:snapToGrid w:val="0"/>
        <w:spacing w:line="360" w:lineRule="auto"/>
        <w:rPr>
          <w:rFonts w:ascii="宋体" w:hAnsi="宋体" w:cs="宋体"/>
          <w:sz w:val="24"/>
          <w:u w:val="dotted"/>
        </w:rPr>
      </w:pPr>
      <w:r>
        <w:rPr>
          <w:rFonts w:hint="eastAsia" w:ascii="宋体" w:hAnsi="宋体" w:cs="宋体"/>
          <w:sz w:val="24"/>
        </w:rPr>
        <w:t>请求：</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rPr>
          <w:rFonts w:ascii="宋体" w:hAnsi="宋体" w:cs="宋体"/>
          <w:b/>
          <w:sz w:val="24"/>
        </w:rPr>
      </w:pPr>
      <w:r>
        <w:rPr>
          <w:rFonts w:hint="eastAsia" w:ascii="宋体" w:hAnsi="宋体" w:cs="宋体"/>
          <w:b/>
          <w:sz w:val="24"/>
        </w:rPr>
        <w:br w:type="page"/>
      </w: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jc w:val="left"/>
        <w:rPr>
          <w:rFonts w:ascii="宋体" w:hAnsi="宋体" w:cs="宋体"/>
          <w:sz w:val="28"/>
          <w:szCs w:val="28"/>
        </w:rPr>
      </w:pPr>
    </w:p>
    <w:sectPr>
      <w:footerReference r:id="rId5"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37D2BEE-3CC5-4228-97F9-7013195A57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49969A7-EA73-450F-B388-F7C0EB1E8B3A}"/>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embedRegular r:id="rId3" w:fontKey="{93CFB6D2-1DF7-4EB7-9FD9-8A0BBAB2FA45}"/>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monospace">
    <w:altName w:val="Segoe Print"/>
    <w:panose1 w:val="00000000000000000000"/>
    <w:charset w:val="00"/>
    <w:family w:val="auto"/>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方正小标宋_GBK">
    <w:altName w:val="Arial Unicode MS"/>
    <w:panose1 w:val="00000000000000000000"/>
    <w:charset w:val="86"/>
    <w:family w:val="script"/>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方正黑体_GBK">
    <w:altName w:val="Arial Unicode MS"/>
    <w:panose1 w:val="00000000000000000000"/>
    <w:charset w:val="86"/>
    <w:family w:val="script"/>
    <w:pitch w:val="default"/>
    <w:sig w:usb0="00000000" w:usb1="00000000" w:usb2="00000000" w:usb3="00000000" w:csb0="00040000" w:csb1="00000000"/>
  </w:font>
  <w:font w:name="Impact">
    <w:panose1 w:val="020B080603090205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embedRegular r:id="rId4" w:fontKey="{19A9C14F-A723-4944-BFAE-CBE7D4471BB2}"/>
  </w:font>
  <w:font w:name="等线 Light">
    <w:panose1 w:val="02010600030101010101"/>
    <w:charset w:val="86"/>
    <w:family w:val="auto"/>
    <w:pitch w:val="default"/>
    <w:sig w:usb0="A00002BF" w:usb1="38CF7CFA" w:usb2="00000016" w:usb3="00000000" w:csb0="0004000F" w:csb1="00000000"/>
  </w:font>
  <w:font w:name="长城仿宋">
    <w:altName w:val="宋体"/>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34</w:t>
    </w:r>
    <w:r>
      <w:rPr>
        <w:lang w:val="zh-CN"/>
      </w:rP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PAGE   \* MERGEFORMAT</w:instrText>
    </w:r>
    <w:r>
      <w:fldChar w:fldCharType="separate"/>
    </w:r>
    <w:r>
      <w:rPr>
        <w:lang w:val="zh-CN"/>
      </w:rPr>
      <w:t>45</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920B27"/>
    <w:multiLevelType w:val="singleLevel"/>
    <w:tmpl w:val="D7920B27"/>
    <w:lvl w:ilvl="0" w:tentative="0">
      <w:start w:val="1"/>
      <w:numFmt w:val="decimal"/>
      <w:pStyle w:val="287"/>
      <w:lvlText w:val="%1."/>
      <w:lvlJc w:val="left"/>
      <w:pPr>
        <w:tabs>
          <w:tab w:val="left" w:pos="312"/>
        </w:tabs>
      </w:pPr>
    </w:lvl>
  </w:abstractNum>
  <w:abstractNum w:abstractNumId="1">
    <w:nsid w:val="E1C86FC8"/>
    <w:multiLevelType w:val="singleLevel"/>
    <w:tmpl w:val="E1C86FC8"/>
    <w:lvl w:ilvl="0" w:tentative="0">
      <w:start w:val="6"/>
      <w:numFmt w:val="decimal"/>
      <w:pStyle w:val="283"/>
      <w:suff w:val="nothing"/>
      <w:lvlText w:val="%1-"/>
      <w:lvlJc w:val="left"/>
    </w:lvl>
  </w:abstractNum>
  <w:abstractNum w:abstractNumId="2">
    <w:nsid w:val="2B8C2B2E"/>
    <w:multiLevelType w:val="singleLevel"/>
    <w:tmpl w:val="2B8C2B2E"/>
    <w:lvl w:ilvl="0" w:tentative="0">
      <w:start w:val="1"/>
      <w:numFmt w:val="chineseCounting"/>
      <w:suff w:val="nothing"/>
      <w:lvlText w:val="%1、"/>
      <w:lvlJc w:val="left"/>
      <w:rPr>
        <w:rFonts w:hint="eastAsia"/>
      </w:rPr>
    </w:lvl>
  </w:abstractNum>
  <w:abstractNum w:abstractNumId="3">
    <w:nsid w:val="38DA3F37"/>
    <w:multiLevelType w:val="multilevel"/>
    <w:tmpl w:val="38DA3F37"/>
    <w:lvl w:ilvl="0" w:tentative="0">
      <w:start w:val="1"/>
      <w:numFmt w:val="bullet"/>
      <w:pStyle w:val="144"/>
      <w:lvlText w:val=""/>
      <w:lvlJc w:val="left"/>
      <w:pPr>
        <w:tabs>
          <w:tab w:val="left" w:pos="480"/>
        </w:tabs>
        <w:ind w:left="480" w:hanging="480"/>
      </w:pPr>
      <w:rPr>
        <w:rFonts w:hint="default"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2"/>
  </w:compat>
  <w:docVars>
    <w:docVar w:name="commondata" w:val="eyJoZGlkIjoiNDM5MGVlYzg1ZjgwYzA2YjM2N2U1N2U4YTEwYTgzNGIifQ=="/>
  </w:docVars>
  <w:rsids>
    <w:rsidRoot w:val="0066708D"/>
    <w:rsid w:val="000002D7"/>
    <w:rsid w:val="00000546"/>
    <w:rsid w:val="00000AB2"/>
    <w:rsid w:val="00001A88"/>
    <w:rsid w:val="00001DA4"/>
    <w:rsid w:val="00002A9B"/>
    <w:rsid w:val="00004757"/>
    <w:rsid w:val="00005EBA"/>
    <w:rsid w:val="000065AF"/>
    <w:rsid w:val="000103FA"/>
    <w:rsid w:val="00010733"/>
    <w:rsid w:val="0001111D"/>
    <w:rsid w:val="00011C32"/>
    <w:rsid w:val="00012EF0"/>
    <w:rsid w:val="000130AC"/>
    <w:rsid w:val="000140D0"/>
    <w:rsid w:val="000144B7"/>
    <w:rsid w:val="00015136"/>
    <w:rsid w:val="00015ECD"/>
    <w:rsid w:val="000176B2"/>
    <w:rsid w:val="0001787A"/>
    <w:rsid w:val="000207EA"/>
    <w:rsid w:val="00020819"/>
    <w:rsid w:val="00020C52"/>
    <w:rsid w:val="0002112A"/>
    <w:rsid w:val="0002154A"/>
    <w:rsid w:val="00021B3F"/>
    <w:rsid w:val="0002219B"/>
    <w:rsid w:val="00023545"/>
    <w:rsid w:val="00023C3F"/>
    <w:rsid w:val="0002458D"/>
    <w:rsid w:val="0002533A"/>
    <w:rsid w:val="0002708D"/>
    <w:rsid w:val="000274F9"/>
    <w:rsid w:val="000277CD"/>
    <w:rsid w:val="00031AD6"/>
    <w:rsid w:val="00033FA3"/>
    <w:rsid w:val="00034346"/>
    <w:rsid w:val="00035051"/>
    <w:rsid w:val="000356E5"/>
    <w:rsid w:val="0003652A"/>
    <w:rsid w:val="00036F7E"/>
    <w:rsid w:val="00036FA3"/>
    <w:rsid w:val="00040669"/>
    <w:rsid w:val="0004264E"/>
    <w:rsid w:val="000431E3"/>
    <w:rsid w:val="0004496E"/>
    <w:rsid w:val="00044A66"/>
    <w:rsid w:val="00044ADE"/>
    <w:rsid w:val="000455CF"/>
    <w:rsid w:val="00045858"/>
    <w:rsid w:val="00045BBB"/>
    <w:rsid w:val="00046734"/>
    <w:rsid w:val="00046E7F"/>
    <w:rsid w:val="00047C17"/>
    <w:rsid w:val="00052662"/>
    <w:rsid w:val="00053E7A"/>
    <w:rsid w:val="0005583D"/>
    <w:rsid w:val="00056741"/>
    <w:rsid w:val="00056B65"/>
    <w:rsid w:val="00056FCA"/>
    <w:rsid w:val="00057B6D"/>
    <w:rsid w:val="00057FCA"/>
    <w:rsid w:val="0006048F"/>
    <w:rsid w:val="00061140"/>
    <w:rsid w:val="000623F5"/>
    <w:rsid w:val="00062FB2"/>
    <w:rsid w:val="00063271"/>
    <w:rsid w:val="0006339F"/>
    <w:rsid w:val="000634B6"/>
    <w:rsid w:val="00065AD6"/>
    <w:rsid w:val="00065CE1"/>
    <w:rsid w:val="00065F50"/>
    <w:rsid w:val="000667DA"/>
    <w:rsid w:val="000668A4"/>
    <w:rsid w:val="000672C8"/>
    <w:rsid w:val="0006738D"/>
    <w:rsid w:val="00067715"/>
    <w:rsid w:val="00067F36"/>
    <w:rsid w:val="00070798"/>
    <w:rsid w:val="000717FE"/>
    <w:rsid w:val="00071E47"/>
    <w:rsid w:val="00071F57"/>
    <w:rsid w:val="0007260D"/>
    <w:rsid w:val="00072CD3"/>
    <w:rsid w:val="00073424"/>
    <w:rsid w:val="00073BED"/>
    <w:rsid w:val="00074988"/>
    <w:rsid w:val="0007540B"/>
    <w:rsid w:val="00076AE9"/>
    <w:rsid w:val="00076F71"/>
    <w:rsid w:val="0007742F"/>
    <w:rsid w:val="0008009E"/>
    <w:rsid w:val="0008018D"/>
    <w:rsid w:val="000803DB"/>
    <w:rsid w:val="00081396"/>
    <w:rsid w:val="00082843"/>
    <w:rsid w:val="00082CBF"/>
    <w:rsid w:val="000839F1"/>
    <w:rsid w:val="00084436"/>
    <w:rsid w:val="00084DE0"/>
    <w:rsid w:val="00085157"/>
    <w:rsid w:val="000859E5"/>
    <w:rsid w:val="00085D79"/>
    <w:rsid w:val="00085EFE"/>
    <w:rsid w:val="00085F63"/>
    <w:rsid w:val="000860FE"/>
    <w:rsid w:val="000862CC"/>
    <w:rsid w:val="0008766A"/>
    <w:rsid w:val="00090915"/>
    <w:rsid w:val="00090BE7"/>
    <w:rsid w:val="00091CD8"/>
    <w:rsid w:val="000922A8"/>
    <w:rsid w:val="00094598"/>
    <w:rsid w:val="0009490F"/>
    <w:rsid w:val="00094B87"/>
    <w:rsid w:val="000954BA"/>
    <w:rsid w:val="0009592A"/>
    <w:rsid w:val="0009616F"/>
    <w:rsid w:val="00096BFB"/>
    <w:rsid w:val="00097BCB"/>
    <w:rsid w:val="000A00BD"/>
    <w:rsid w:val="000A096A"/>
    <w:rsid w:val="000A0EF7"/>
    <w:rsid w:val="000A0EF8"/>
    <w:rsid w:val="000A15A0"/>
    <w:rsid w:val="000A2563"/>
    <w:rsid w:val="000A3F28"/>
    <w:rsid w:val="000A5187"/>
    <w:rsid w:val="000A57C8"/>
    <w:rsid w:val="000A5B59"/>
    <w:rsid w:val="000A7BC8"/>
    <w:rsid w:val="000A7EB6"/>
    <w:rsid w:val="000A7F6B"/>
    <w:rsid w:val="000B003D"/>
    <w:rsid w:val="000B0402"/>
    <w:rsid w:val="000B07BD"/>
    <w:rsid w:val="000B0A49"/>
    <w:rsid w:val="000B15CC"/>
    <w:rsid w:val="000B1722"/>
    <w:rsid w:val="000B3041"/>
    <w:rsid w:val="000B5449"/>
    <w:rsid w:val="000B5677"/>
    <w:rsid w:val="000B58E2"/>
    <w:rsid w:val="000B5C7D"/>
    <w:rsid w:val="000B6AFD"/>
    <w:rsid w:val="000B78B3"/>
    <w:rsid w:val="000B7CF5"/>
    <w:rsid w:val="000C0636"/>
    <w:rsid w:val="000C0D0D"/>
    <w:rsid w:val="000C1644"/>
    <w:rsid w:val="000C25FD"/>
    <w:rsid w:val="000C3603"/>
    <w:rsid w:val="000C4F19"/>
    <w:rsid w:val="000C515F"/>
    <w:rsid w:val="000C54C8"/>
    <w:rsid w:val="000C58C8"/>
    <w:rsid w:val="000C5FE1"/>
    <w:rsid w:val="000C6322"/>
    <w:rsid w:val="000C661B"/>
    <w:rsid w:val="000C6D20"/>
    <w:rsid w:val="000C6FFF"/>
    <w:rsid w:val="000C7774"/>
    <w:rsid w:val="000D0DE2"/>
    <w:rsid w:val="000D190E"/>
    <w:rsid w:val="000D1FC9"/>
    <w:rsid w:val="000D2BD4"/>
    <w:rsid w:val="000D2E96"/>
    <w:rsid w:val="000D2EFF"/>
    <w:rsid w:val="000D38F5"/>
    <w:rsid w:val="000D3FFE"/>
    <w:rsid w:val="000D4848"/>
    <w:rsid w:val="000D4C7D"/>
    <w:rsid w:val="000D53CE"/>
    <w:rsid w:val="000D5A2E"/>
    <w:rsid w:val="000D5A42"/>
    <w:rsid w:val="000D5B2C"/>
    <w:rsid w:val="000D63AA"/>
    <w:rsid w:val="000D63EE"/>
    <w:rsid w:val="000D682C"/>
    <w:rsid w:val="000D6D29"/>
    <w:rsid w:val="000D7507"/>
    <w:rsid w:val="000D7E1A"/>
    <w:rsid w:val="000E0BDF"/>
    <w:rsid w:val="000E13C5"/>
    <w:rsid w:val="000E190A"/>
    <w:rsid w:val="000E29B5"/>
    <w:rsid w:val="000E3129"/>
    <w:rsid w:val="000E3178"/>
    <w:rsid w:val="000E386B"/>
    <w:rsid w:val="000E3BA3"/>
    <w:rsid w:val="000E3FA3"/>
    <w:rsid w:val="000E56B2"/>
    <w:rsid w:val="000E66B5"/>
    <w:rsid w:val="000E6876"/>
    <w:rsid w:val="000E69A2"/>
    <w:rsid w:val="000E6D6C"/>
    <w:rsid w:val="000E76D0"/>
    <w:rsid w:val="000E7DCC"/>
    <w:rsid w:val="000F07A2"/>
    <w:rsid w:val="000F1FA3"/>
    <w:rsid w:val="000F23D1"/>
    <w:rsid w:val="000F3E9B"/>
    <w:rsid w:val="000F4096"/>
    <w:rsid w:val="000F4358"/>
    <w:rsid w:val="000F553D"/>
    <w:rsid w:val="000F5999"/>
    <w:rsid w:val="000F5CF5"/>
    <w:rsid w:val="000F63C9"/>
    <w:rsid w:val="000F7710"/>
    <w:rsid w:val="000F7B55"/>
    <w:rsid w:val="000F7E6C"/>
    <w:rsid w:val="00100340"/>
    <w:rsid w:val="001009A1"/>
    <w:rsid w:val="001019ED"/>
    <w:rsid w:val="0010235D"/>
    <w:rsid w:val="00102388"/>
    <w:rsid w:val="00102701"/>
    <w:rsid w:val="00102AE0"/>
    <w:rsid w:val="00103948"/>
    <w:rsid w:val="00104837"/>
    <w:rsid w:val="00104B62"/>
    <w:rsid w:val="00104EC9"/>
    <w:rsid w:val="00104F7C"/>
    <w:rsid w:val="001053C5"/>
    <w:rsid w:val="001072DB"/>
    <w:rsid w:val="00107435"/>
    <w:rsid w:val="001106D9"/>
    <w:rsid w:val="00110B4A"/>
    <w:rsid w:val="0011159C"/>
    <w:rsid w:val="00113481"/>
    <w:rsid w:val="00113BB9"/>
    <w:rsid w:val="00114978"/>
    <w:rsid w:val="00114F16"/>
    <w:rsid w:val="001153F6"/>
    <w:rsid w:val="001178DB"/>
    <w:rsid w:val="00117A34"/>
    <w:rsid w:val="00117E6F"/>
    <w:rsid w:val="00122C11"/>
    <w:rsid w:val="00123015"/>
    <w:rsid w:val="001231D6"/>
    <w:rsid w:val="00124EE0"/>
    <w:rsid w:val="00125881"/>
    <w:rsid w:val="00126278"/>
    <w:rsid w:val="00130180"/>
    <w:rsid w:val="00131BEC"/>
    <w:rsid w:val="00131DDD"/>
    <w:rsid w:val="0013222E"/>
    <w:rsid w:val="0013301F"/>
    <w:rsid w:val="0013336A"/>
    <w:rsid w:val="00133842"/>
    <w:rsid w:val="00133A76"/>
    <w:rsid w:val="00133DA3"/>
    <w:rsid w:val="00134655"/>
    <w:rsid w:val="0013596A"/>
    <w:rsid w:val="00135ACB"/>
    <w:rsid w:val="00135FAC"/>
    <w:rsid w:val="001363E8"/>
    <w:rsid w:val="0013686A"/>
    <w:rsid w:val="00136C12"/>
    <w:rsid w:val="00142F1A"/>
    <w:rsid w:val="0014301D"/>
    <w:rsid w:val="00145A1C"/>
    <w:rsid w:val="001461D2"/>
    <w:rsid w:val="001462E0"/>
    <w:rsid w:val="00146479"/>
    <w:rsid w:val="00146636"/>
    <w:rsid w:val="00146643"/>
    <w:rsid w:val="00146CF4"/>
    <w:rsid w:val="00147766"/>
    <w:rsid w:val="0014784A"/>
    <w:rsid w:val="0015027A"/>
    <w:rsid w:val="00152826"/>
    <w:rsid w:val="00153EBD"/>
    <w:rsid w:val="001546EC"/>
    <w:rsid w:val="0015474F"/>
    <w:rsid w:val="00154AF5"/>
    <w:rsid w:val="00155ECE"/>
    <w:rsid w:val="0015612C"/>
    <w:rsid w:val="00156E3A"/>
    <w:rsid w:val="00157D64"/>
    <w:rsid w:val="001608D5"/>
    <w:rsid w:val="00160FD7"/>
    <w:rsid w:val="00161A82"/>
    <w:rsid w:val="0016272D"/>
    <w:rsid w:val="00162CC5"/>
    <w:rsid w:val="00163284"/>
    <w:rsid w:val="00163A7C"/>
    <w:rsid w:val="00164509"/>
    <w:rsid w:val="00164645"/>
    <w:rsid w:val="001655B9"/>
    <w:rsid w:val="001665AB"/>
    <w:rsid w:val="00166EAD"/>
    <w:rsid w:val="0016728C"/>
    <w:rsid w:val="00167DDC"/>
    <w:rsid w:val="00167E2D"/>
    <w:rsid w:val="00167EC9"/>
    <w:rsid w:val="001702F5"/>
    <w:rsid w:val="001703A3"/>
    <w:rsid w:val="00170B76"/>
    <w:rsid w:val="00172460"/>
    <w:rsid w:val="0017266D"/>
    <w:rsid w:val="0017324A"/>
    <w:rsid w:val="0017377A"/>
    <w:rsid w:val="001742F6"/>
    <w:rsid w:val="001745FF"/>
    <w:rsid w:val="001748AC"/>
    <w:rsid w:val="0017497C"/>
    <w:rsid w:val="00174EF5"/>
    <w:rsid w:val="00175841"/>
    <w:rsid w:val="001765AB"/>
    <w:rsid w:val="00177023"/>
    <w:rsid w:val="001770E3"/>
    <w:rsid w:val="00177438"/>
    <w:rsid w:val="00181491"/>
    <w:rsid w:val="00181911"/>
    <w:rsid w:val="001820D2"/>
    <w:rsid w:val="00182509"/>
    <w:rsid w:val="001838FE"/>
    <w:rsid w:val="00183A3A"/>
    <w:rsid w:val="00184AD9"/>
    <w:rsid w:val="00184AF5"/>
    <w:rsid w:val="00185828"/>
    <w:rsid w:val="00185A94"/>
    <w:rsid w:val="00186126"/>
    <w:rsid w:val="0018665E"/>
    <w:rsid w:val="00186DF5"/>
    <w:rsid w:val="001875B3"/>
    <w:rsid w:val="00187C5F"/>
    <w:rsid w:val="001902EE"/>
    <w:rsid w:val="0019058C"/>
    <w:rsid w:val="00192A38"/>
    <w:rsid w:val="0019303E"/>
    <w:rsid w:val="00193AA3"/>
    <w:rsid w:val="00193F84"/>
    <w:rsid w:val="0019554C"/>
    <w:rsid w:val="0019566E"/>
    <w:rsid w:val="00195BE1"/>
    <w:rsid w:val="00195FAC"/>
    <w:rsid w:val="001964AF"/>
    <w:rsid w:val="001964E7"/>
    <w:rsid w:val="0019670E"/>
    <w:rsid w:val="0019692F"/>
    <w:rsid w:val="00197825"/>
    <w:rsid w:val="001A0707"/>
    <w:rsid w:val="001A1327"/>
    <w:rsid w:val="001A14DF"/>
    <w:rsid w:val="001A2111"/>
    <w:rsid w:val="001A49AD"/>
    <w:rsid w:val="001A4E8F"/>
    <w:rsid w:val="001A51B7"/>
    <w:rsid w:val="001A7795"/>
    <w:rsid w:val="001A7B4C"/>
    <w:rsid w:val="001A7BFE"/>
    <w:rsid w:val="001B01C6"/>
    <w:rsid w:val="001B0E33"/>
    <w:rsid w:val="001B14E0"/>
    <w:rsid w:val="001B1E96"/>
    <w:rsid w:val="001B2013"/>
    <w:rsid w:val="001B3348"/>
    <w:rsid w:val="001B3387"/>
    <w:rsid w:val="001B4291"/>
    <w:rsid w:val="001B5076"/>
    <w:rsid w:val="001B5244"/>
    <w:rsid w:val="001B56B0"/>
    <w:rsid w:val="001B5760"/>
    <w:rsid w:val="001B6558"/>
    <w:rsid w:val="001B6C7A"/>
    <w:rsid w:val="001B7843"/>
    <w:rsid w:val="001B7F42"/>
    <w:rsid w:val="001B7FDF"/>
    <w:rsid w:val="001C0AC4"/>
    <w:rsid w:val="001C170B"/>
    <w:rsid w:val="001C20B6"/>
    <w:rsid w:val="001C3F12"/>
    <w:rsid w:val="001C3F14"/>
    <w:rsid w:val="001C3F6B"/>
    <w:rsid w:val="001C507C"/>
    <w:rsid w:val="001C7569"/>
    <w:rsid w:val="001C7754"/>
    <w:rsid w:val="001C78FA"/>
    <w:rsid w:val="001D07F0"/>
    <w:rsid w:val="001D0D3C"/>
    <w:rsid w:val="001D186B"/>
    <w:rsid w:val="001D1EB2"/>
    <w:rsid w:val="001D2A96"/>
    <w:rsid w:val="001D3142"/>
    <w:rsid w:val="001D46CF"/>
    <w:rsid w:val="001D4B9A"/>
    <w:rsid w:val="001D5309"/>
    <w:rsid w:val="001D5795"/>
    <w:rsid w:val="001D61A5"/>
    <w:rsid w:val="001D6222"/>
    <w:rsid w:val="001D638F"/>
    <w:rsid w:val="001D6765"/>
    <w:rsid w:val="001D6DE3"/>
    <w:rsid w:val="001D6E04"/>
    <w:rsid w:val="001D7A54"/>
    <w:rsid w:val="001E13F5"/>
    <w:rsid w:val="001E1B5A"/>
    <w:rsid w:val="001E1D55"/>
    <w:rsid w:val="001E220C"/>
    <w:rsid w:val="001E3D01"/>
    <w:rsid w:val="001E5F42"/>
    <w:rsid w:val="001E64A5"/>
    <w:rsid w:val="001E6B99"/>
    <w:rsid w:val="001F1405"/>
    <w:rsid w:val="001F1467"/>
    <w:rsid w:val="001F1694"/>
    <w:rsid w:val="001F16AE"/>
    <w:rsid w:val="001F1D43"/>
    <w:rsid w:val="001F2610"/>
    <w:rsid w:val="001F34D5"/>
    <w:rsid w:val="001F358D"/>
    <w:rsid w:val="001F466D"/>
    <w:rsid w:val="001F4DEE"/>
    <w:rsid w:val="001F517D"/>
    <w:rsid w:val="001F60B1"/>
    <w:rsid w:val="001F6156"/>
    <w:rsid w:val="001F635C"/>
    <w:rsid w:val="001F697B"/>
    <w:rsid w:val="001F72DB"/>
    <w:rsid w:val="00201A73"/>
    <w:rsid w:val="00201F4E"/>
    <w:rsid w:val="00202420"/>
    <w:rsid w:val="00203191"/>
    <w:rsid w:val="0020349E"/>
    <w:rsid w:val="002034E3"/>
    <w:rsid w:val="00203EB0"/>
    <w:rsid w:val="00204064"/>
    <w:rsid w:val="00204215"/>
    <w:rsid w:val="002044CF"/>
    <w:rsid w:val="00204BAB"/>
    <w:rsid w:val="0020524F"/>
    <w:rsid w:val="002057BF"/>
    <w:rsid w:val="00206E83"/>
    <w:rsid w:val="00206EDA"/>
    <w:rsid w:val="00207C97"/>
    <w:rsid w:val="00207F66"/>
    <w:rsid w:val="00210072"/>
    <w:rsid w:val="00210108"/>
    <w:rsid w:val="002108C1"/>
    <w:rsid w:val="002136D8"/>
    <w:rsid w:val="00213737"/>
    <w:rsid w:val="00213A43"/>
    <w:rsid w:val="00214214"/>
    <w:rsid w:val="0021486E"/>
    <w:rsid w:val="0021542F"/>
    <w:rsid w:val="0021700A"/>
    <w:rsid w:val="00217736"/>
    <w:rsid w:val="002203F5"/>
    <w:rsid w:val="00220B3A"/>
    <w:rsid w:val="002238CD"/>
    <w:rsid w:val="00224912"/>
    <w:rsid w:val="00224A02"/>
    <w:rsid w:val="00225AD4"/>
    <w:rsid w:val="00225ED7"/>
    <w:rsid w:val="00227B1A"/>
    <w:rsid w:val="0023036A"/>
    <w:rsid w:val="002304ED"/>
    <w:rsid w:val="00230F76"/>
    <w:rsid w:val="00231953"/>
    <w:rsid w:val="002323C9"/>
    <w:rsid w:val="00232418"/>
    <w:rsid w:val="0023372A"/>
    <w:rsid w:val="00234BC9"/>
    <w:rsid w:val="00237012"/>
    <w:rsid w:val="0023725A"/>
    <w:rsid w:val="0024022F"/>
    <w:rsid w:val="0024032F"/>
    <w:rsid w:val="002406D4"/>
    <w:rsid w:val="00240A90"/>
    <w:rsid w:val="0024151B"/>
    <w:rsid w:val="00241910"/>
    <w:rsid w:val="00241A39"/>
    <w:rsid w:val="00241C90"/>
    <w:rsid w:val="00242A26"/>
    <w:rsid w:val="00243320"/>
    <w:rsid w:val="00244FA6"/>
    <w:rsid w:val="00245BDC"/>
    <w:rsid w:val="00245C24"/>
    <w:rsid w:val="002460D6"/>
    <w:rsid w:val="00246E3C"/>
    <w:rsid w:val="00247379"/>
    <w:rsid w:val="00247879"/>
    <w:rsid w:val="00250329"/>
    <w:rsid w:val="002508D3"/>
    <w:rsid w:val="0025114F"/>
    <w:rsid w:val="002511DA"/>
    <w:rsid w:val="0025120B"/>
    <w:rsid w:val="00251334"/>
    <w:rsid w:val="0025276A"/>
    <w:rsid w:val="00252F7A"/>
    <w:rsid w:val="00253B4C"/>
    <w:rsid w:val="002557D2"/>
    <w:rsid w:val="002567F6"/>
    <w:rsid w:val="002568F5"/>
    <w:rsid w:val="00256976"/>
    <w:rsid w:val="002574B8"/>
    <w:rsid w:val="002579E1"/>
    <w:rsid w:val="00260643"/>
    <w:rsid w:val="002610E8"/>
    <w:rsid w:val="00262486"/>
    <w:rsid w:val="002625F8"/>
    <w:rsid w:val="002629C0"/>
    <w:rsid w:val="002630CD"/>
    <w:rsid w:val="0026343B"/>
    <w:rsid w:val="00263475"/>
    <w:rsid w:val="00263FB2"/>
    <w:rsid w:val="002642D6"/>
    <w:rsid w:val="0026460E"/>
    <w:rsid w:val="0026460F"/>
    <w:rsid w:val="00264E34"/>
    <w:rsid w:val="00264FD3"/>
    <w:rsid w:val="0026519F"/>
    <w:rsid w:val="002653F1"/>
    <w:rsid w:val="002655B1"/>
    <w:rsid w:val="0026568D"/>
    <w:rsid w:val="00266D65"/>
    <w:rsid w:val="002674FC"/>
    <w:rsid w:val="00267C26"/>
    <w:rsid w:val="00267CE1"/>
    <w:rsid w:val="00272FE7"/>
    <w:rsid w:val="00273807"/>
    <w:rsid w:val="002759E6"/>
    <w:rsid w:val="002774F2"/>
    <w:rsid w:val="0027787C"/>
    <w:rsid w:val="00277A71"/>
    <w:rsid w:val="00277A7C"/>
    <w:rsid w:val="00280DAA"/>
    <w:rsid w:val="00280EC4"/>
    <w:rsid w:val="00280F02"/>
    <w:rsid w:val="00281521"/>
    <w:rsid w:val="0028165B"/>
    <w:rsid w:val="0028342A"/>
    <w:rsid w:val="0028666D"/>
    <w:rsid w:val="00287D53"/>
    <w:rsid w:val="00290042"/>
    <w:rsid w:val="00290131"/>
    <w:rsid w:val="00290232"/>
    <w:rsid w:val="0029088E"/>
    <w:rsid w:val="0029120D"/>
    <w:rsid w:val="00291528"/>
    <w:rsid w:val="00291F6A"/>
    <w:rsid w:val="0029204E"/>
    <w:rsid w:val="002929E4"/>
    <w:rsid w:val="00293E60"/>
    <w:rsid w:val="0029448F"/>
    <w:rsid w:val="002953BA"/>
    <w:rsid w:val="00297900"/>
    <w:rsid w:val="002A11B9"/>
    <w:rsid w:val="002A1226"/>
    <w:rsid w:val="002A1352"/>
    <w:rsid w:val="002A156B"/>
    <w:rsid w:val="002A2121"/>
    <w:rsid w:val="002A221F"/>
    <w:rsid w:val="002A2276"/>
    <w:rsid w:val="002A27C2"/>
    <w:rsid w:val="002A28DD"/>
    <w:rsid w:val="002A2F1C"/>
    <w:rsid w:val="002A31EB"/>
    <w:rsid w:val="002A4059"/>
    <w:rsid w:val="002A432D"/>
    <w:rsid w:val="002A46DC"/>
    <w:rsid w:val="002A486A"/>
    <w:rsid w:val="002A537C"/>
    <w:rsid w:val="002A5646"/>
    <w:rsid w:val="002A5B21"/>
    <w:rsid w:val="002A6112"/>
    <w:rsid w:val="002A6BD1"/>
    <w:rsid w:val="002A73E5"/>
    <w:rsid w:val="002A775D"/>
    <w:rsid w:val="002A7CE9"/>
    <w:rsid w:val="002B0137"/>
    <w:rsid w:val="002B2759"/>
    <w:rsid w:val="002B37EB"/>
    <w:rsid w:val="002B405E"/>
    <w:rsid w:val="002B4B4F"/>
    <w:rsid w:val="002B4F8A"/>
    <w:rsid w:val="002B55A3"/>
    <w:rsid w:val="002B6197"/>
    <w:rsid w:val="002B64C4"/>
    <w:rsid w:val="002B6E98"/>
    <w:rsid w:val="002B766C"/>
    <w:rsid w:val="002B7DA4"/>
    <w:rsid w:val="002C0538"/>
    <w:rsid w:val="002C16D8"/>
    <w:rsid w:val="002C170D"/>
    <w:rsid w:val="002C1E08"/>
    <w:rsid w:val="002C1F75"/>
    <w:rsid w:val="002C27CB"/>
    <w:rsid w:val="002C2CA4"/>
    <w:rsid w:val="002C2D9A"/>
    <w:rsid w:val="002C3261"/>
    <w:rsid w:val="002C340C"/>
    <w:rsid w:val="002C3A57"/>
    <w:rsid w:val="002C465E"/>
    <w:rsid w:val="002C4831"/>
    <w:rsid w:val="002C587A"/>
    <w:rsid w:val="002C5D8E"/>
    <w:rsid w:val="002C7464"/>
    <w:rsid w:val="002C7D4D"/>
    <w:rsid w:val="002D039C"/>
    <w:rsid w:val="002D0AED"/>
    <w:rsid w:val="002D0E88"/>
    <w:rsid w:val="002D0EE5"/>
    <w:rsid w:val="002D123F"/>
    <w:rsid w:val="002D24FF"/>
    <w:rsid w:val="002D32C5"/>
    <w:rsid w:val="002D3D9A"/>
    <w:rsid w:val="002D3DCF"/>
    <w:rsid w:val="002D4AAB"/>
    <w:rsid w:val="002D4FA1"/>
    <w:rsid w:val="002D5175"/>
    <w:rsid w:val="002D52AC"/>
    <w:rsid w:val="002D5706"/>
    <w:rsid w:val="002D64F0"/>
    <w:rsid w:val="002D6AE9"/>
    <w:rsid w:val="002D71CE"/>
    <w:rsid w:val="002D7415"/>
    <w:rsid w:val="002D7E99"/>
    <w:rsid w:val="002E0187"/>
    <w:rsid w:val="002E01DD"/>
    <w:rsid w:val="002E0917"/>
    <w:rsid w:val="002E0BAC"/>
    <w:rsid w:val="002E0D30"/>
    <w:rsid w:val="002E11B4"/>
    <w:rsid w:val="002E1B34"/>
    <w:rsid w:val="002E2BB0"/>
    <w:rsid w:val="002E396A"/>
    <w:rsid w:val="002E4D12"/>
    <w:rsid w:val="002E5DDE"/>
    <w:rsid w:val="002E6446"/>
    <w:rsid w:val="002E6687"/>
    <w:rsid w:val="002E6A31"/>
    <w:rsid w:val="002E6B1F"/>
    <w:rsid w:val="002E6E72"/>
    <w:rsid w:val="002E72F4"/>
    <w:rsid w:val="002E76B3"/>
    <w:rsid w:val="002E7808"/>
    <w:rsid w:val="002E7FB0"/>
    <w:rsid w:val="002F0578"/>
    <w:rsid w:val="002F0D77"/>
    <w:rsid w:val="002F1659"/>
    <w:rsid w:val="002F354E"/>
    <w:rsid w:val="002F3654"/>
    <w:rsid w:val="002F392C"/>
    <w:rsid w:val="002F3A00"/>
    <w:rsid w:val="002F3C1A"/>
    <w:rsid w:val="002F4C7F"/>
    <w:rsid w:val="002F57E4"/>
    <w:rsid w:val="002F61AE"/>
    <w:rsid w:val="002F68A1"/>
    <w:rsid w:val="002F7741"/>
    <w:rsid w:val="002F7B80"/>
    <w:rsid w:val="002F7E83"/>
    <w:rsid w:val="00300D52"/>
    <w:rsid w:val="003016F6"/>
    <w:rsid w:val="003017D8"/>
    <w:rsid w:val="003017F0"/>
    <w:rsid w:val="00301958"/>
    <w:rsid w:val="00302E96"/>
    <w:rsid w:val="003036FD"/>
    <w:rsid w:val="00303B8F"/>
    <w:rsid w:val="003045D9"/>
    <w:rsid w:val="00304E4E"/>
    <w:rsid w:val="00304FA6"/>
    <w:rsid w:val="00305686"/>
    <w:rsid w:val="00305B5A"/>
    <w:rsid w:val="003068A0"/>
    <w:rsid w:val="00312F7C"/>
    <w:rsid w:val="00313C9F"/>
    <w:rsid w:val="00314A90"/>
    <w:rsid w:val="00314C91"/>
    <w:rsid w:val="00316F78"/>
    <w:rsid w:val="00317F41"/>
    <w:rsid w:val="00321B6D"/>
    <w:rsid w:val="00321C1B"/>
    <w:rsid w:val="00323BB3"/>
    <w:rsid w:val="00323C57"/>
    <w:rsid w:val="00323F5E"/>
    <w:rsid w:val="00323F7D"/>
    <w:rsid w:val="00324611"/>
    <w:rsid w:val="003251A6"/>
    <w:rsid w:val="00325DFB"/>
    <w:rsid w:val="00326695"/>
    <w:rsid w:val="00326724"/>
    <w:rsid w:val="00326CD4"/>
    <w:rsid w:val="003276EC"/>
    <w:rsid w:val="0032783F"/>
    <w:rsid w:val="00327A7D"/>
    <w:rsid w:val="00327AA9"/>
    <w:rsid w:val="00327EF8"/>
    <w:rsid w:val="00330AE8"/>
    <w:rsid w:val="00330F2C"/>
    <w:rsid w:val="0033153C"/>
    <w:rsid w:val="0033244C"/>
    <w:rsid w:val="0033346D"/>
    <w:rsid w:val="00333606"/>
    <w:rsid w:val="00333C74"/>
    <w:rsid w:val="00333F95"/>
    <w:rsid w:val="00336FA4"/>
    <w:rsid w:val="003373C4"/>
    <w:rsid w:val="00340043"/>
    <w:rsid w:val="003405C5"/>
    <w:rsid w:val="00340B10"/>
    <w:rsid w:val="00340B9E"/>
    <w:rsid w:val="00341755"/>
    <w:rsid w:val="003418B5"/>
    <w:rsid w:val="00341D0F"/>
    <w:rsid w:val="003429F7"/>
    <w:rsid w:val="00343AF8"/>
    <w:rsid w:val="0034480A"/>
    <w:rsid w:val="00344EEB"/>
    <w:rsid w:val="00345001"/>
    <w:rsid w:val="0034558C"/>
    <w:rsid w:val="0034621E"/>
    <w:rsid w:val="003462F9"/>
    <w:rsid w:val="003470F7"/>
    <w:rsid w:val="00347E34"/>
    <w:rsid w:val="00350647"/>
    <w:rsid w:val="00350672"/>
    <w:rsid w:val="00350899"/>
    <w:rsid w:val="00351BC2"/>
    <w:rsid w:val="003522CC"/>
    <w:rsid w:val="003524ED"/>
    <w:rsid w:val="003526B4"/>
    <w:rsid w:val="00352985"/>
    <w:rsid w:val="003534CD"/>
    <w:rsid w:val="003535D6"/>
    <w:rsid w:val="003535E0"/>
    <w:rsid w:val="003549F2"/>
    <w:rsid w:val="00354BDD"/>
    <w:rsid w:val="0035616F"/>
    <w:rsid w:val="003563B1"/>
    <w:rsid w:val="00357154"/>
    <w:rsid w:val="00360126"/>
    <w:rsid w:val="003608ED"/>
    <w:rsid w:val="00360F5B"/>
    <w:rsid w:val="00361E8D"/>
    <w:rsid w:val="00362FAE"/>
    <w:rsid w:val="00363883"/>
    <w:rsid w:val="003653F1"/>
    <w:rsid w:val="00365C15"/>
    <w:rsid w:val="00365F0A"/>
    <w:rsid w:val="0036618A"/>
    <w:rsid w:val="00366B6B"/>
    <w:rsid w:val="00367AEE"/>
    <w:rsid w:val="00367EC3"/>
    <w:rsid w:val="00370716"/>
    <w:rsid w:val="0037156E"/>
    <w:rsid w:val="003717BE"/>
    <w:rsid w:val="00371CFC"/>
    <w:rsid w:val="00373C45"/>
    <w:rsid w:val="003741A5"/>
    <w:rsid w:val="00374DC8"/>
    <w:rsid w:val="00374EDA"/>
    <w:rsid w:val="003751D7"/>
    <w:rsid w:val="00375586"/>
    <w:rsid w:val="00376496"/>
    <w:rsid w:val="00376828"/>
    <w:rsid w:val="00376848"/>
    <w:rsid w:val="003777AF"/>
    <w:rsid w:val="00377F76"/>
    <w:rsid w:val="00380270"/>
    <w:rsid w:val="00380302"/>
    <w:rsid w:val="00381EDB"/>
    <w:rsid w:val="00381FE0"/>
    <w:rsid w:val="003821DE"/>
    <w:rsid w:val="003828B9"/>
    <w:rsid w:val="00382A56"/>
    <w:rsid w:val="00382B7C"/>
    <w:rsid w:val="0038351C"/>
    <w:rsid w:val="0038377B"/>
    <w:rsid w:val="003838D5"/>
    <w:rsid w:val="003847D6"/>
    <w:rsid w:val="0038725A"/>
    <w:rsid w:val="0038781F"/>
    <w:rsid w:val="00387E64"/>
    <w:rsid w:val="003902F3"/>
    <w:rsid w:val="0039036C"/>
    <w:rsid w:val="00390CF5"/>
    <w:rsid w:val="00391CC5"/>
    <w:rsid w:val="003926C1"/>
    <w:rsid w:val="003926C9"/>
    <w:rsid w:val="00393134"/>
    <w:rsid w:val="00393422"/>
    <w:rsid w:val="00393BAC"/>
    <w:rsid w:val="0039416E"/>
    <w:rsid w:val="00394C24"/>
    <w:rsid w:val="00394C8F"/>
    <w:rsid w:val="00396451"/>
    <w:rsid w:val="00396F85"/>
    <w:rsid w:val="00397448"/>
    <w:rsid w:val="003977CE"/>
    <w:rsid w:val="003A0212"/>
    <w:rsid w:val="003A19CB"/>
    <w:rsid w:val="003A23EC"/>
    <w:rsid w:val="003A2746"/>
    <w:rsid w:val="003A2952"/>
    <w:rsid w:val="003A3D3D"/>
    <w:rsid w:val="003A5070"/>
    <w:rsid w:val="003A56B0"/>
    <w:rsid w:val="003A58EF"/>
    <w:rsid w:val="003A6B4A"/>
    <w:rsid w:val="003A7076"/>
    <w:rsid w:val="003A7114"/>
    <w:rsid w:val="003B05BC"/>
    <w:rsid w:val="003B0CEC"/>
    <w:rsid w:val="003B156C"/>
    <w:rsid w:val="003B23CE"/>
    <w:rsid w:val="003B2D19"/>
    <w:rsid w:val="003B5901"/>
    <w:rsid w:val="003B60FA"/>
    <w:rsid w:val="003B64EA"/>
    <w:rsid w:val="003B7913"/>
    <w:rsid w:val="003B7B4D"/>
    <w:rsid w:val="003C03EE"/>
    <w:rsid w:val="003C0ADC"/>
    <w:rsid w:val="003C290B"/>
    <w:rsid w:val="003C2E90"/>
    <w:rsid w:val="003C4910"/>
    <w:rsid w:val="003C5650"/>
    <w:rsid w:val="003C69F6"/>
    <w:rsid w:val="003C6BEE"/>
    <w:rsid w:val="003C7549"/>
    <w:rsid w:val="003D0866"/>
    <w:rsid w:val="003D1841"/>
    <w:rsid w:val="003D1E69"/>
    <w:rsid w:val="003D201B"/>
    <w:rsid w:val="003D3555"/>
    <w:rsid w:val="003D3C66"/>
    <w:rsid w:val="003D3C71"/>
    <w:rsid w:val="003D419D"/>
    <w:rsid w:val="003D4480"/>
    <w:rsid w:val="003E017B"/>
    <w:rsid w:val="003E05DE"/>
    <w:rsid w:val="003E0C73"/>
    <w:rsid w:val="003E154C"/>
    <w:rsid w:val="003E1F72"/>
    <w:rsid w:val="003E3316"/>
    <w:rsid w:val="003E3346"/>
    <w:rsid w:val="003E36FF"/>
    <w:rsid w:val="003E3FE6"/>
    <w:rsid w:val="003E4653"/>
    <w:rsid w:val="003E473B"/>
    <w:rsid w:val="003E4B2A"/>
    <w:rsid w:val="003E4C9C"/>
    <w:rsid w:val="003E5334"/>
    <w:rsid w:val="003E5C36"/>
    <w:rsid w:val="003E5F84"/>
    <w:rsid w:val="003E6B15"/>
    <w:rsid w:val="003E6C59"/>
    <w:rsid w:val="003E6E66"/>
    <w:rsid w:val="003E71C6"/>
    <w:rsid w:val="003E75C3"/>
    <w:rsid w:val="003E7911"/>
    <w:rsid w:val="003E795E"/>
    <w:rsid w:val="003E7EB7"/>
    <w:rsid w:val="003F06AF"/>
    <w:rsid w:val="003F1302"/>
    <w:rsid w:val="003F1DF8"/>
    <w:rsid w:val="003F291E"/>
    <w:rsid w:val="003F3040"/>
    <w:rsid w:val="003F373F"/>
    <w:rsid w:val="003F3CDE"/>
    <w:rsid w:val="003F4CA5"/>
    <w:rsid w:val="003F5766"/>
    <w:rsid w:val="003F5F8E"/>
    <w:rsid w:val="003F5FEB"/>
    <w:rsid w:val="003F6ABB"/>
    <w:rsid w:val="003F73A5"/>
    <w:rsid w:val="004016E9"/>
    <w:rsid w:val="00401799"/>
    <w:rsid w:val="00401EA0"/>
    <w:rsid w:val="00401F34"/>
    <w:rsid w:val="00402145"/>
    <w:rsid w:val="0040233A"/>
    <w:rsid w:val="00402838"/>
    <w:rsid w:val="0040431B"/>
    <w:rsid w:val="004044FA"/>
    <w:rsid w:val="00404D80"/>
    <w:rsid w:val="00405393"/>
    <w:rsid w:val="00406A9D"/>
    <w:rsid w:val="00406B0B"/>
    <w:rsid w:val="00406CB3"/>
    <w:rsid w:val="00407107"/>
    <w:rsid w:val="00410143"/>
    <w:rsid w:val="004105DE"/>
    <w:rsid w:val="00410E18"/>
    <w:rsid w:val="00410F2E"/>
    <w:rsid w:val="0041144F"/>
    <w:rsid w:val="00412477"/>
    <w:rsid w:val="0041654F"/>
    <w:rsid w:val="0041717C"/>
    <w:rsid w:val="004214C7"/>
    <w:rsid w:val="00421885"/>
    <w:rsid w:val="004220FE"/>
    <w:rsid w:val="0042410A"/>
    <w:rsid w:val="00425A1B"/>
    <w:rsid w:val="004260D0"/>
    <w:rsid w:val="004307AC"/>
    <w:rsid w:val="004307C8"/>
    <w:rsid w:val="00431367"/>
    <w:rsid w:val="00431D96"/>
    <w:rsid w:val="00431E81"/>
    <w:rsid w:val="004330EC"/>
    <w:rsid w:val="004332C6"/>
    <w:rsid w:val="00433D08"/>
    <w:rsid w:val="00434253"/>
    <w:rsid w:val="004368B8"/>
    <w:rsid w:val="004368C0"/>
    <w:rsid w:val="00437BCE"/>
    <w:rsid w:val="0044040E"/>
    <w:rsid w:val="004422C6"/>
    <w:rsid w:val="00442837"/>
    <w:rsid w:val="00442CC6"/>
    <w:rsid w:val="00442D73"/>
    <w:rsid w:val="00443251"/>
    <w:rsid w:val="00443A18"/>
    <w:rsid w:val="00443F68"/>
    <w:rsid w:val="00444153"/>
    <w:rsid w:val="00444FFC"/>
    <w:rsid w:val="00445426"/>
    <w:rsid w:val="0044560A"/>
    <w:rsid w:val="00446D75"/>
    <w:rsid w:val="00447864"/>
    <w:rsid w:val="00451F81"/>
    <w:rsid w:val="004534D8"/>
    <w:rsid w:val="004539C0"/>
    <w:rsid w:val="00454344"/>
    <w:rsid w:val="00454549"/>
    <w:rsid w:val="00455070"/>
    <w:rsid w:val="004555B3"/>
    <w:rsid w:val="004558F1"/>
    <w:rsid w:val="004575AE"/>
    <w:rsid w:val="004601C9"/>
    <w:rsid w:val="0046230E"/>
    <w:rsid w:val="0046252B"/>
    <w:rsid w:val="00462997"/>
    <w:rsid w:val="00462E98"/>
    <w:rsid w:val="00462FB0"/>
    <w:rsid w:val="004649C4"/>
    <w:rsid w:val="00464DBB"/>
    <w:rsid w:val="00465A2D"/>
    <w:rsid w:val="00465D0B"/>
    <w:rsid w:val="0046686D"/>
    <w:rsid w:val="004707AA"/>
    <w:rsid w:val="00470E6C"/>
    <w:rsid w:val="004715B3"/>
    <w:rsid w:val="004717E4"/>
    <w:rsid w:val="00471BE5"/>
    <w:rsid w:val="00472F1D"/>
    <w:rsid w:val="00473F45"/>
    <w:rsid w:val="00475BAC"/>
    <w:rsid w:val="00477808"/>
    <w:rsid w:val="00477C17"/>
    <w:rsid w:val="00480125"/>
    <w:rsid w:val="0048064D"/>
    <w:rsid w:val="00481296"/>
    <w:rsid w:val="00481CF4"/>
    <w:rsid w:val="00482AC2"/>
    <w:rsid w:val="004844DD"/>
    <w:rsid w:val="00484BE4"/>
    <w:rsid w:val="00485409"/>
    <w:rsid w:val="004855F7"/>
    <w:rsid w:val="004859EA"/>
    <w:rsid w:val="00485ECB"/>
    <w:rsid w:val="00485EE2"/>
    <w:rsid w:val="00486224"/>
    <w:rsid w:val="00486651"/>
    <w:rsid w:val="004869F6"/>
    <w:rsid w:val="00486B1D"/>
    <w:rsid w:val="00487133"/>
    <w:rsid w:val="00487660"/>
    <w:rsid w:val="00487D91"/>
    <w:rsid w:val="00487EF2"/>
    <w:rsid w:val="00490621"/>
    <w:rsid w:val="00490BE1"/>
    <w:rsid w:val="00490C75"/>
    <w:rsid w:val="0049310C"/>
    <w:rsid w:val="004940E5"/>
    <w:rsid w:val="00495CB3"/>
    <w:rsid w:val="00496580"/>
    <w:rsid w:val="0049714F"/>
    <w:rsid w:val="00497832"/>
    <w:rsid w:val="004A0A36"/>
    <w:rsid w:val="004A0D52"/>
    <w:rsid w:val="004A12A1"/>
    <w:rsid w:val="004A2483"/>
    <w:rsid w:val="004A31AA"/>
    <w:rsid w:val="004A35F5"/>
    <w:rsid w:val="004A7557"/>
    <w:rsid w:val="004B003C"/>
    <w:rsid w:val="004B04D4"/>
    <w:rsid w:val="004B189D"/>
    <w:rsid w:val="004B2308"/>
    <w:rsid w:val="004B358B"/>
    <w:rsid w:val="004B3660"/>
    <w:rsid w:val="004B3D1C"/>
    <w:rsid w:val="004B49D4"/>
    <w:rsid w:val="004B5ADC"/>
    <w:rsid w:val="004B72E4"/>
    <w:rsid w:val="004B7608"/>
    <w:rsid w:val="004B7615"/>
    <w:rsid w:val="004B7CC5"/>
    <w:rsid w:val="004B7E0F"/>
    <w:rsid w:val="004C2917"/>
    <w:rsid w:val="004C332F"/>
    <w:rsid w:val="004C37CF"/>
    <w:rsid w:val="004C3EEB"/>
    <w:rsid w:val="004C4715"/>
    <w:rsid w:val="004C4941"/>
    <w:rsid w:val="004C5199"/>
    <w:rsid w:val="004C5A46"/>
    <w:rsid w:val="004C6290"/>
    <w:rsid w:val="004C6799"/>
    <w:rsid w:val="004C6D77"/>
    <w:rsid w:val="004D0458"/>
    <w:rsid w:val="004D0ADB"/>
    <w:rsid w:val="004D0BAA"/>
    <w:rsid w:val="004D1B87"/>
    <w:rsid w:val="004D3D50"/>
    <w:rsid w:val="004D3F25"/>
    <w:rsid w:val="004D78A8"/>
    <w:rsid w:val="004E09A2"/>
    <w:rsid w:val="004E0ADF"/>
    <w:rsid w:val="004E0EC2"/>
    <w:rsid w:val="004E185D"/>
    <w:rsid w:val="004E198B"/>
    <w:rsid w:val="004E1A9A"/>
    <w:rsid w:val="004E2F92"/>
    <w:rsid w:val="004E363C"/>
    <w:rsid w:val="004E4671"/>
    <w:rsid w:val="004E4C74"/>
    <w:rsid w:val="004E511E"/>
    <w:rsid w:val="004E5615"/>
    <w:rsid w:val="004E594D"/>
    <w:rsid w:val="004E5C26"/>
    <w:rsid w:val="004E5C64"/>
    <w:rsid w:val="004E7CDB"/>
    <w:rsid w:val="004F0376"/>
    <w:rsid w:val="004F0CDF"/>
    <w:rsid w:val="004F0FE2"/>
    <w:rsid w:val="004F1791"/>
    <w:rsid w:val="004F23B7"/>
    <w:rsid w:val="004F3153"/>
    <w:rsid w:val="004F3C8A"/>
    <w:rsid w:val="004F420A"/>
    <w:rsid w:val="004F46A5"/>
    <w:rsid w:val="004F5294"/>
    <w:rsid w:val="004F5E50"/>
    <w:rsid w:val="005001F5"/>
    <w:rsid w:val="0050111B"/>
    <w:rsid w:val="00502C8A"/>
    <w:rsid w:val="00502CBF"/>
    <w:rsid w:val="00503728"/>
    <w:rsid w:val="005047CE"/>
    <w:rsid w:val="00505500"/>
    <w:rsid w:val="00505AC7"/>
    <w:rsid w:val="005061DE"/>
    <w:rsid w:val="0050782F"/>
    <w:rsid w:val="00510353"/>
    <w:rsid w:val="005109F7"/>
    <w:rsid w:val="00510A09"/>
    <w:rsid w:val="00511165"/>
    <w:rsid w:val="005116BA"/>
    <w:rsid w:val="00511D97"/>
    <w:rsid w:val="00513923"/>
    <w:rsid w:val="00513B6A"/>
    <w:rsid w:val="0051446B"/>
    <w:rsid w:val="00515399"/>
    <w:rsid w:val="00515B9C"/>
    <w:rsid w:val="00516114"/>
    <w:rsid w:val="00516A92"/>
    <w:rsid w:val="005175F9"/>
    <w:rsid w:val="00517740"/>
    <w:rsid w:val="00517CA0"/>
    <w:rsid w:val="0052011E"/>
    <w:rsid w:val="00521296"/>
    <w:rsid w:val="00521A40"/>
    <w:rsid w:val="0052232A"/>
    <w:rsid w:val="00522541"/>
    <w:rsid w:val="00523930"/>
    <w:rsid w:val="00524276"/>
    <w:rsid w:val="005242FC"/>
    <w:rsid w:val="00524C0F"/>
    <w:rsid w:val="005250D8"/>
    <w:rsid w:val="00525373"/>
    <w:rsid w:val="005263BF"/>
    <w:rsid w:val="005279E2"/>
    <w:rsid w:val="00530D01"/>
    <w:rsid w:val="00531425"/>
    <w:rsid w:val="00531524"/>
    <w:rsid w:val="00533196"/>
    <w:rsid w:val="005365CA"/>
    <w:rsid w:val="00536991"/>
    <w:rsid w:val="00537500"/>
    <w:rsid w:val="00540316"/>
    <w:rsid w:val="0054065A"/>
    <w:rsid w:val="005407E3"/>
    <w:rsid w:val="00540EB0"/>
    <w:rsid w:val="00541004"/>
    <w:rsid w:val="00541053"/>
    <w:rsid w:val="005426D9"/>
    <w:rsid w:val="00542949"/>
    <w:rsid w:val="00542CF0"/>
    <w:rsid w:val="0054657C"/>
    <w:rsid w:val="00546646"/>
    <w:rsid w:val="005467BF"/>
    <w:rsid w:val="00546EEA"/>
    <w:rsid w:val="00547737"/>
    <w:rsid w:val="005501FD"/>
    <w:rsid w:val="005505B1"/>
    <w:rsid w:val="00551988"/>
    <w:rsid w:val="0055250E"/>
    <w:rsid w:val="00556151"/>
    <w:rsid w:val="005562CB"/>
    <w:rsid w:val="005563D1"/>
    <w:rsid w:val="00556B11"/>
    <w:rsid w:val="00556D35"/>
    <w:rsid w:val="00560142"/>
    <w:rsid w:val="00560B23"/>
    <w:rsid w:val="00561773"/>
    <w:rsid w:val="00561D4F"/>
    <w:rsid w:val="00561DC2"/>
    <w:rsid w:val="00562684"/>
    <w:rsid w:val="00562E39"/>
    <w:rsid w:val="005632A3"/>
    <w:rsid w:val="005632D7"/>
    <w:rsid w:val="0056489B"/>
    <w:rsid w:val="00564BF9"/>
    <w:rsid w:val="005658B9"/>
    <w:rsid w:val="00565B7B"/>
    <w:rsid w:val="00566B4E"/>
    <w:rsid w:val="00566BF8"/>
    <w:rsid w:val="00566EE0"/>
    <w:rsid w:val="005670C6"/>
    <w:rsid w:val="005677B2"/>
    <w:rsid w:val="00567D88"/>
    <w:rsid w:val="0057069C"/>
    <w:rsid w:val="00571C4D"/>
    <w:rsid w:val="00573790"/>
    <w:rsid w:val="005744A0"/>
    <w:rsid w:val="00575EC7"/>
    <w:rsid w:val="00576784"/>
    <w:rsid w:val="00580806"/>
    <w:rsid w:val="005808D7"/>
    <w:rsid w:val="00580BF7"/>
    <w:rsid w:val="00581F8C"/>
    <w:rsid w:val="005823DC"/>
    <w:rsid w:val="0058255D"/>
    <w:rsid w:val="00582F70"/>
    <w:rsid w:val="00584C1C"/>
    <w:rsid w:val="00585198"/>
    <w:rsid w:val="00586426"/>
    <w:rsid w:val="00586A2A"/>
    <w:rsid w:val="00590CF2"/>
    <w:rsid w:val="00591CAE"/>
    <w:rsid w:val="00592A42"/>
    <w:rsid w:val="005937F3"/>
    <w:rsid w:val="0059392D"/>
    <w:rsid w:val="0059491E"/>
    <w:rsid w:val="005950E1"/>
    <w:rsid w:val="0059579B"/>
    <w:rsid w:val="00597865"/>
    <w:rsid w:val="005A0E0A"/>
    <w:rsid w:val="005A2016"/>
    <w:rsid w:val="005A2214"/>
    <w:rsid w:val="005A2EA2"/>
    <w:rsid w:val="005A33EC"/>
    <w:rsid w:val="005A3504"/>
    <w:rsid w:val="005A412B"/>
    <w:rsid w:val="005A559E"/>
    <w:rsid w:val="005A60E5"/>
    <w:rsid w:val="005A6540"/>
    <w:rsid w:val="005A6C6C"/>
    <w:rsid w:val="005A74D4"/>
    <w:rsid w:val="005A78C1"/>
    <w:rsid w:val="005A7F48"/>
    <w:rsid w:val="005B09CF"/>
    <w:rsid w:val="005B13F6"/>
    <w:rsid w:val="005B1402"/>
    <w:rsid w:val="005B1C57"/>
    <w:rsid w:val="005B3D9B"/>
    <w:rsid w:val="005B460B"/>
    <w:rsid w:val="005B55B2"/>
    <w:rsid w:val="005B5767"/>
    <w:rsid w:val="005B5BC9"/>
    <w:rsid w:val="005C0198"/>
    <w:rsid w:val="005C31E4"/>
    <w:rsid w:val="005C32F2"/>
    <w:rsid w:val="005C35F6"/>
    <w:rsid w:val="005C3EBE"/>
    <w:rsid w:val="005C514A"/>
    <w:rsid w:val="005C564A"/>
    <w:rsid w:val="005C564E"/>
    <w:rsid w:val="005C5B8F"/>
    <w:rsid w:val="005C5CFE"/>
    <w:rsid w:val="005C5D43"/>
    <w:rsid w:val="005C6048"/>
    <w:rsid w:val="005C61E3"/>
    <w:rsid w:val="005C740A"/>
    <w:rsid w:val="005C74D0"/>
    <w:rsid w:val="005C7BD5"/>
    <w:rsid w:val="005C7E74"/>
    <w:rsid w:val="005D223D"/>
    <w:rsid w:val="005D2428"/>
    <w:rsid w:val="005D2639"/>
    <w:rsid w:val="005D2823"/>
    <w:rsid w:val="005D2AD8"/>
    <w:rsid w:val="005D3696"/>
    <w:rsid w:val="005D3AF2"/>
    <w:rsid w:val="005D6053"/>
    <w:rsid w:val="005D6C6E"/>
    <w:rsid w:val="005D7816"/>
    <w:rsid w:val="005D7861"/>
    <w:rsid w:val="005D798C"/>
    <w:rsid w:val="005E17A1"/>
    <w:rsid w:val="005E2119"/>
    <w:rsid w:val="005E2775"/>
    <w:rsid w:val="005E2949"/>
    <w:rsid w:val="005E38BB"/>
    <w:rsid w:val="005E49A3"/>
    <w:rsid w:val="005E52CF"/>
    <w:rsid w:val="005E6BFC"/>
    <w:rsid w:val="005E6D29"/>
    <w:rsid w:val="005E6E97"/>
    <w:rsid w:val="005E7E46"/>
    <w:rsid w:val="005F0A73"/>
    <w:rsid w:val="005F1DDE"/>
    <w:rsid w:val="005F33F4"/>
    <w:rsid w:val="005F347B"/>
    <w:rsid w:val="005F363A"/>
    <w:rsid w:val="005F37A7"/>
    <w:rsid w:val="005F3A1F"/>
    <w:rsid w:val="005F4FAA"/>
    <w:rsid w:val="005F5C7F"/>
    <w:rsid w:val="006015AD"/>
    <w:rsid w:val="006023B5"/>
    <w:rsid w:val="0060456C"/>
    <w:rsid w:val="006046E5"/>
    <w:rsid w:val="006048EE"/>
    <w:rsid w:val="00606986"/>
    <w:rsid w:val="00607473"/>
    <w:rsid w:val="00607679"/>
    <w:rsid w:val="00611326"/>
    <w:rsid w:val="00612CF6"/>
    <w:rsid w:val="00612F49"/>
    <w:rsid w:val="0061417D"/>
    <w:rsid w:val="00614258"/>
    <w:rsid w:val="0061547A"/>
    <w:rsid w:val="00616D1C"/>
    <w:rsid w:val="00616FD4"/>
    <w:rsid w:val="00621416"/>
    <w:rsid w:val="0062198B"/>
    <w:rsid w:val="00621D0D"/>
    <w:rsid w:val="0062417D"/>
    <w:rsid w:val="00625AFB"/>
    <w:rsid w:val="00625BC1"/>
    <w:rsid w:val="00626796"/>
    <w:rsid w:val="0062722E"/>
    <w:rsid w:val="00633086"/>
    <w:rsid w:val="00635E25"/>
    <w:rsid w:val="00635FBA"/>
    <w:rsid w:val="0063671A"/>
    <w:rsid w:val="006402D3"/>
    <w:rsid w:val="00640FDD"/>
    <w:rsid w:val="006416E6"/>
    <w:rsid w:val="00641F10"/>
    <w:rsid w:val="006426A8"/>
    <w:rsid w:val="00643D3F"/>
    <w:rsid w:val="00643F93"/>
    <w:rsid w:val="0064478C"/>
    <w:rsid w:val="00646AAA"/>
    <w:rsid w:val="00647082"/>
    <w:rsid w:val="00647B76"/>
    <w:rsid w:val="00650160"/>
    <w:rsid w:val="0065076A"/>
    <w:rsid w:val="00652D87"/>
    <w:rsid w:val="006532C9"/>
    <w:rsid w:val="00653456"/>
    <w:rsid w:val="00653742"/>
    <w:rsid w:val="00653774"/>
    <w:rsid w:val="00654E70"/>
    <w:rsid w:val="006553E5"/>
    <w:rsid w:val="0065575F"/>
    <w:rsid w:val="006568A2"/>
    <w:rsid w:val="006568D7"/>
    <w:rsid w:val="00656CAE"/>
    <w:rsid w:val="00657434"/>
    <w:rsid w:val="00657F6A"/>
    <w:rsid w:val="00660F80"/>
    <w:rsid w:val="00663999"/>
    <w:rsid w:val="00663BF8"/>
    <w:rsid w:val="00664AF2"/>
    <w:rsid w:val="006655B6"/>
    <w:rsid w:val="0066625E"/>
    <w:rsid w:val="00666A34"/>
    <w:rsid w:val="00666A7B"/>
    <w:rsid w:val="00666B4C"/>
    <w:rsid w:val="0066708D"/>
    <w:rsid w:val="0066722F"/>
    <w:rsid w:val="00667558"/>
    <w:rsid w:val="0066792B"/>
    <w:rsid w:val="0066798C"/>
    <w:rsid w:val="00667B2A"/>
    <w:rsid w:val="00670779"/>
    <w:rsid w:val="006709BD"/>
    <w:rsid w:val="006709C6"/>
    <w:rsid w:val="00671B3A"/>
    <w:rsid w:val="00671C19"/>
    <w:rsid w:val="00672FE7"/>
    <w:rsid w:val="00673107"/>
    <w:rsid w:val="0067443F"/>
    <w:rsid w:val="00674C77"/>
    <w:rsid w:val="00674E4F"/>
    <w:rsid w:val="0068012A"/>
    <w:rsid w:val="00680D84"/>
    <w:rsid w:val="00680E1B"/>
    <w:rsid w:val="00681790"/>
    <w:rsid w:val="00682949"/>
    <w:rsid w:val="0068304D"/>
    <w:rsid w:val="00683C15"/>
    <w:rsid w:val="00683E0C"/>
    <w:rsid w:val="00684C88"/>
    <w:rsid w:val="00685117"/>
    <w:rsid w:val="00685408"/>
    <w:rsid w:val="00685CB8"/>
    <w:rsid w:val="0068671D"/>
    <w:rsid w:val="006873E2"/>
    <w:rsid w:val="0068768A"/>
    <w:rsid w:val="00687B70"/>
    <w:rsid w:val="00690582"/>
    <w:rsid w:val="00690848"/>
    <w:rsid w:val="00690E7F"/>
    <w:rsid w:val="006913DB"/>
    <w:rsid w:val="00691F22"/>
    <w:rsid w:val="0069212E"/>
    <w:rsid w:val="00692831"/>
    <w:rsid w:val="00693A34"/>
    <w:rsid w:val="00693B3A"/>
    <w:rsid w:val="00693B58"/>
    <w:rsid w:val="00694A80"/>
    <w:rsid w:val="00695B21"/>
    <w:rsid w:val="00696431"/>
    <w:rsid w:val="00696F86"/>
    <w:rsid w:val="006A4237"/>
    <w:rsid w:val="006A4770"/>
    <w:rsid w:val="006A4FB4"/>
    <w:rsid w:val="006A534B"/>
    <w:rsid w:val="006A68F1"/>
    <w:rsid w:val="006A7302"/>
    <w:rsid w:val="006B00DC"/>
    <w:rsid w:val="006B098C"/>
    <w:rsid w:val="006B0FFF"/>
    <w:rsid w:val="006B16FF"/>
    <w:rsid w:val="006B1B1D"/>
    <w:rsid w:val="006B285C"/>
    <w:rsid w:val="006B2902"/>
    <w:rsid w:val="006B2E88"/>
    <w:rsid w:val="006B40E8"/>
    <w:rsid w:val="006B4295"/>
    <w:rsid w:val="006B45EE"/>
    <w:rsid w:val="006B4814"/>
    <w:rsid w:val="006B5F9F"/>
    <w:rsid w:val="006B66CC"/>
    <w:rsid w:val="006B7B03"/>
    <w:rsid w:val="006B7D34"/>
    <w:rsid w:val="006C1B30"/>
    <w:rsid w:val="006C1F55"/>
    <w:rsid w:val="006C2854"/>
    <w:rsid w:val="006C2923"/>
    <w:rsid w:val="006C3250"/>
    <w:rsid w:val="006C3311"/>
    <w:rsid w:val="006C3F4E"/>
    <w:rsid w:val="006C46C9"/>
    <w:rsid w:val="006C4D46"/>
    <w:rsid w:val="006C5FB9"/>
    <w:rsid w:val="006C6CDD"/>
    <w:rsid w:val="006C6F6B"/>
    <w:rsid w:val="006C793F"/>
    <w:rsid w:val="006D0A6E"/>
    <w:rsid w:val="006D2DDE"/>
    <w:rsid w:val="006D39A0"/>
    <w:rsid w:val="006D3F37"/>
    <w:rsid w:val="006D41A0"/>
    <w:rsid w:val="006D5119"/>
    <w:rsid w:val="006D6FAE"/>
    <w:rsid w:val="006D7703"/>
    <w:rsid w:val="006D77B1"/>
    <w:rsid w:val="006E008F"/>
    <w:rsid w:val="006E01D7"/>
    <w:rsid w:val="006E1D37"/>
    <w:rsid w:val="006E3CC9"/>
    <w:rsid w:val="006E5648"/>
    <w:rsid w:val="006E572F"/>
    <w:rsid w:val="006E6446"/>
    <w:rsid w:val="006E70D0"/>
    <w:rsid w:val="006E7DC1"/>
    <w:rsid w:val="006F0AFA"/>
    <w:rsid w:val="006F0E2C"/>
    <w:rsid w:val="006F1433"/>
    <w:rsid w:val="006F1F80"/>
    <w:rsid w:val="006F27A5"/>
    <w:rsid w:val="006F33F2"/>
    <w:rsid w:val="006F39DF"/>
    <w:rsid w:val="006F58FF"/>
    <w:rsid w:val="006F59B6"/>
    <w:rsid w:val="006F5E9E"/>
    <w:rsid w:val="006F7B38"/>
    <w:rsid w:val="00700097"/>
    <w:rsid w:val="00700883"/>
    <w:rsid w:val="00700BD8"/>
    <w:rsid w:val="007020A2"/>
    <w:rsid w:val="00702365"/>
    <w:rsid w:val="007028E8"/>
    <w:rsid w:val="00702D60"/>
    <w:rsid w:val="00702F14"/>
    <w:rsid w:val="0070302C"/>
    <w:rsid w:val="007037B5"/>
    <w:rsid w:val="00703865"/>
    <w:rsid w:val="00704125"/>
    <w:rsid w:val="0070429A"/>
    <w:rsid w:val="00704BAD"/>
    <w:rsid w:val="00705055"/>
    <w:rsid w:val="00706370"/>
    <w:rsid w:val="00706769"/>
    <w:rsid w:val="00706C55"/>
    <w:rsid w:val="00707165"/>
    <w:rsid w:val="00707232"/>
    <w:rsid w:val="0071105F"/>
    <w:rsid w:val="00711215"/>
    <w:rsid w:val="0071139A"/>
    <w:rsid w:val="0071149B"/>
    <w:rsid w:val="00713C44"/>
    <w:rsid w:val="00713D30"/>
    <w:rsid w:val="00714BC8"/>
    <w:rsid w:val="0071583B"/>
    <w:rsid w:val="0071661C"/>
    <w:rsid w:val="007168E1"/>
    <w:rsid w:val="00720101"/>
    <w:rsid w:val="0072078A"/>
    <w:rsid w:val="007213D7"/>
    <w:rsid w:val="007216E2"/>
    <w:rsid w:val="00721781"/>
    <w:rsid w:val="0072221F"/>
    <w:rsid w:val="00722271"/>
    <w:rsid w:val="00722441"/>
    <w:rsid w:val="0072334E"/>
    <w:rsid w:val="007233D7"/>
    <w:rsid w:val="0072356B"/>
    <w:rsid w:val="00723ACC"/>
    <w:rsid w:val="00725371"/>
    <w:rsid w:val="00725A2F"/>
    <w:rsid w:val="0072665F"/>
    <w:rsid w:val="00727D3F"/>
    <w:rsid w:val="0073070A"/>
    <w:rsid w:val="007308AF"/>
    <w:rsid w:val="00730D50"/>
    <w:rsid w:val="007311C8"/>
    <w:rsid w:val="00731352"/>
    <w:rsid w:val="007314A8"/>
    <w:rsid w:val="00731952"/>
    <w:rsid w:val="00732C6E"/>
    <w:rsid w:val="00733C0C"/>
    <w:rsid w:val="00734E48"/>
    <w:rsid w:val="0073573A"/>
    <w:rsid w:val="00735C9B"/>
    <w:rsid w:val="00737311"/>
    <w:rsid w:val="00740E4C"/>
    <w:rsid w:val="00741048"/>
    <w:rsid w:val="007410B2"/>
    <w:rsid w:val="00741D87"/>
    <w:rsid w:val="00742DD5"/>
    <w:rsid w:val="00743236"/>
    <w:rsid w:val="00744BAA"/>
    <w:rsid w:val="00745800"/>
    <w:rsid w:val="00745C5D"/>
    <w:rsid w:val="00746365"/>
    <w:rsid w:val="0074797A"/>
    <w:rsid w:val="00751F41"/>
    <w:rsid w:val="007520D1"/>
    <w:rsid w:val="00752924"/>
    <w:rsid w:val="00752E8D"/>
    <w:rsid w:val="0075467C"/>
    <w:rsid w:val="00755CAC"/>
    <w:rsid w:val="007565ED"/>
    <w:rsid w:val="007574CA"/>
    <w:rsid w:val="007576AE"/>
    <w:rsid w:val="00757B96"/>
    <w:rsid w:val="00760359"/>
    <w:rsid w:val="00760761"/>
    <w:rsid w:val="00761807"/>
    <w:rsid w:val="0076249B"/>
    <w:rsid w:val="00762780"/>
    <w:rsid w:val="00762E44"/>
    <w:rsid w:val="00763193"/>
    <w:rsid w:val="00763252"/>
    <w:rsid w:val="0076338C"/>
    <w:rsid w:val="00763910"/>
    <w:rsid w:val="007646EC"/>
    <w:rsid w:val="00764E9B"/>
    <w:rsid w:val="00765611"/>
    <w:rsid w:val="00766573"/>
    <w:rsid w:val="00771163"/>
    <w:rsid w:val="00771A5E"/>
    <w:rsid w:val="00771A8A"/>
    <w:rsid w:val="00771BB5"/>
    <w:rsid w:val="00771E3B"/>
    <w:rsid w:val="007732E6"/>
    <w:rsid w:val="00773465"/>
    <w:rsid w:val="00773862"/>
    <w:rsid w:val="0077434F"/>
    <w:rsid w:val="007759C2"/>
    <w:rsid w:val="00776194"/>
    <w:rsid w:val="007762E8"/>
    <w:rsid w:val="00777477"/>
    <w:rsid w:val="00777947"/>
    <w:rsid w:val="00777B07"/>
    <w:rsid w:val="00777B1C"/>
    <w:rsid w:val="007806BC"/>
    <w:rsid w:val="007809CB"/>
    <w:rsid w:val="00781491"/>
    <w:rsid w:val="00782FF0"/>
    <w:rsid w:val="00783D95"/>
    <w:rsid w:val="00783F1A"/>
    <w:rsid w:val="0078439F"/>
    <w:rsid w:val="007843FD"/>
    <w:rsid w:val="0078524A"/>
    <w:rsid w:val="00785605"/>
    <w:rsid w:val="007864BB"/>
    <w:rsid w:val="00786541"/>
    <w:rsid w:val="00787B8F"/>
    <w:rsid w:val="00787EB1"/>
    <w:rsid w:val="007906DC"/>
    <w:rsid w:val="00790D0F"/>
    <w:rsid w:val="0079107F"/>
    <w:rsid w:val="0079325E"/>
    <w:rsid w:val="00793B09"/>
    <w:rsid w:val="007963DB"/>
    <w:rsid w:val="00796F1B"/>
    <w:rsid w:val="007970BB"/>
    <w:rsid w:val="00797A4E"/>
    <w:rsid w:val="00797C4E"/>
    <w:rsid w:val="007A0307"/>
    <w:rsid w:val="007A043A"/>
    <w:rsid w:val="007A0BE2"/>
    <w:rsid w:val="007A142B"/>
    <w:rsid w:val="007A1CBE"/>
    <w:rsid w:val="007A4620"/>
    <w:rsid w:val="007A50C4"/>
    <w:rsid w:val="007A5430"/>
    <w:rsid w:val="007A6E0B"/>
    <w:rsid w:val="007A70B4"/>
    <w:rsid w:val="007B048E"/>
    <w:rsid w:val="007B077E"/>
    <w:rsid w:val="007B1A3D"/>
    <w:rsid w:val="007B20B8"/>
    <w:rsid w:val="007B2345"/>
    <w:rsid w:val="007B297F"/>
    <w:rsid w:val="007B2B65"/>
    <w:rsid w:val="007B3B7D"/>
    <w:rsid w:val="007B4062"/>
    <w:rsid w:val="007B461D"/>
    <w:rsid w:val="007B5ADC"/>
    <w:rsid w:val="007B5DEF"/>
    <w:rsid w:val="007B5F91"/>
    <w:rsid w:val="007B62C7"/>
    <w:rsid w:val="007B6697"/>
    <w:rsid w:val="007B7E0C"/>
    <w:rsid w:val="007C01D6"/>
    <w:rsid w:val="007C12D4"/>
    <w:rsid w:val="007C16EA"/>
    <w:rsid w:val="007C1789"/>
    <w:rsid w:val="007C1A23"/>
    <w:rsid w:val="007C229B"/>
    <w:rsid w:val="007C29A3"/>
    <w:rsid w:val="007C2CA3"/>
    <w:rsid w:val="007C31E4"/>
    <w:rsid w:val="007C3230"/>
    <w:rsid w:val="007C3527"/>
    <w:rsid w:val="007C57CB"/>
    <w:rsid w:val="007C5BAD"/>
    <w:rsid w:val="007C5DDE"/>
    <w:rsid w:val="007C60DB"/>
    <w:rsid w:val="007C6147"/>
    <w:rsid w:val="007C6C85"/>
    <w:rsid w:val="007C6FA3"/>
    <w:rsid w:val="007C72FF"/>
    <w:rsid w:val="007C7827"/>
    <w:rsid w:val="007C795E"/>
    <w:rsid w:val="007C7DAB"/>
    <w:rsid w:val="007D28A8"/>
    <w:rsid w:val="007D294B"/>
    <w:rsid w:val="007D34F2"/>
    <w:rsid w:val="007D3E13"/>
    <w:rsid w:val="007D42C2"/>
    <w:rsid w:val="007D4A85"/>
    <w:rsid w:val="007D4C90"/>
    <w:rsid w:val="007D602B"/>
    <w:rsid w:val="007D64DA"/>
    <w:rsid w:val="007D6B19"/>
    <w:rsid w:val="007D6D9A"/>
    <w:rsid w:val="007D7074"/>
    <w:rsid w:val="007E0F13"/>
    <w:rsid w:val="007E1294"/>
    <w:rsid w:val="007E19D6"/>
    <w:rsid w:val="007E3986"/>
    <w:rsid w:val="007E4615"/>
    <w:rsid w:val="007E5A5F"/>
    <w:rsid w:val="007E66A2"/>
    <w:rsid w:val="007E6B04"/>
    <w:rsid w:val="007E6F3C"/>
    <w:rsid w:val="007E72EA"/>
    <w:rsid w:val="007E7FE8"/>
    <w:rsid w:val="007F0728"/>
    <w:rsid w:val="007F08EE"/>
    <w:rsid w:val="007F1291"/>
    <w:rsid w:val="007F190C"/>
    <w:rsid w:val="007F1947"/>
    <w:rsid w:val="007F19E9"/>
    <w:rsid w:val="007F23E7"/>
    <w:rsid w:val="007F32E7"/>
    <w:rsid w:val="007F33D5"/>
    <w:rsid w:val="007F4046"/>
    <w:rsid w:val="007F4531"/>
    <w:rsid w:val="007F46CE"/>
    <w:rsid w:val="007F7FE6"/>
    <w:rsid w:val="00801100"/>
    <w:rsid w:val="00801F47"/>
    <w:rsid w:val="00803287"/>
    <w:rsid w:val="00803ED3"/>
    <w:rsid w:val="0080407B"/>
    <w:rsid w:val="00804162"/>
    <w:rsid w:val="00804195"/>
    <w:rsid w:val="00804416"/>
    <w:rsid w:val="00804471"/>
    <w:rsid w:val="00804B9D"/>
    <w:rsid w:val="00805157"/>
    <w:rsid w:val="00805BAE"/>
    <w:rsid w:val="00806734"/>
    <w:rsid w:val="00806F20"/>
    <w:rsid w:val="0080771F"/>
    <w:rsid w:val="00810010"/>
    <w:rsid w:val="00810595"/>
    <w:rsid w:val="008108D3"/>
    <w:rsid w:val="00810D6B"/>
    <w:rsid w:val="00811840"/>
    <w:rsid w:val="00811995"/>
    <w:rsid w:val="00811B41"/>
    <w:rsid w:val="00811C08"/>
    <w:rsid w:val="0081389D"/>
    <w:rsid w:val="0081484F"/>
    <w:rsid w:val="008148FE"/>
    <w:rsid w:val="00814D78"/>
    <w:rsid w:val="00816A3D"/>
    <w:rsid w:val="00816F8C"/>
    <w:rsid w:val="0081734C"/>
    <w:rsid w:val="00817506"/>
    <w:rsid w:val="0082029A"/>
    <w:rsid w:val="008207ED"/>
    <w:rsid w:val="00820BB0"/>
    <w:rsid w:val="008212A9"/>
    <w:rsid w:val="00821573"/>
    <w:rsid w:val="00821FB3"/>
    <w:rsid w:val="00822243"/>
    <w:rsid w:val="00823C06"/>
    <w:rsid w:val="008252BC"/>
    <w:rsid w:val="0082546F"/>
    <w:rsid w:val="008254EC"/>
    <w:rsid w:val="00825AB3"/>
    <w:rsid w:val="00825D1A"/>
    <w:rsid w:val="00827110"/>
    <w:rsid w:val="008274AE"/>
    <w:rsid w:val="008275B9"/>
    <w:rsid w:val="0082799F"/>
    <w:rsid w:val="00827F93"/>
    <w:rsid w:val="00831B6F"/>
    <w:rsid w:val="00831D42"/>
    <w:rsid w:val="00832700"/>
    <w:rsid w:val="00832C60"/>
    <w:rsid w:val="00832E3F"/>
    <w:rsid w:val="00833642"/>
    <w:rsid w:val="008343B3"/>
    <w:rsid w:val="00834B17"/>
    <w:rsid w:val="00837730"/>
    <w:rsid w:val="00837CF4"/>
    <w:rsid w:val="00837DA7"/>
    <w:rsid w:val="00840D37"/>
    <w:rsid w:val="008411C9"/>
    <w:rsid w:val="00843A65"/>
    <w:rsid w:val="00843C5A"/>
    <w:rsid w:val="00844799"/>
    <w:rsid w:val="00844C84"/>
    <w:rsid w:val="00845A20"/>
    <w:rsid w:val="008463D7"/>
    <w:rsid w:val="0084685A"/>
    <w:rsid w:val="00846F6D"/>
    <w:rsid w:val="0084736D"/>
    <w:rsid w:val="00847B5F"/>
    <w:rsid w:val="00851C87"/>
    <w:rsid w:val="00851E6F"/>
    <w:rsid w:val="00851F04"/>
    <w:rsid w:val="00852A6E"/>
    <w:rsid w:val="008533C4"/>
    <w:rsid w:val="00854319"/>
    <w:rsid w:val="008546C2"/>
    <w:rsid w:val="0085532D"/>
    <w:rsid w:val="00855429"/>
    <w:rsid w:val="008554F5"/>
    <w:rsid w:val="00855936"/>
    <w:rsid w:val="00856150"/>
    <w:rsid w:val="008573EF"/>
    <w:rsid w:val="0086108F"/>
    <w:rsid w:val="0086125B"/>
    <w:rsid w:val="00863197"/>
    <w:rsid w:val="00863727"/>
    <w:rsid w:val="00863975"/>
    <w:rsid w:val="00863B00"/>
    <w:rsid w:val="00865553"/>
    <w:rsid w:val="00865F0F"/>
    <w:rsid w:val="008665CD"/>
    <w:rsid w:val="008670C9"/>
    <w:rsid w:val="00867CC3"/>
    <w:rsid w:val="0087085F"/>
    <w:rsid w:val="00870AC5"/>
    <w:rsid w:val="00870CAD"/>
    <w:rsid w:val="00871AE9"/>
    <w:rsid w:val="00871C79"/>
    <w:rsid w:val="0087215F"/>
    <w:rsid w:val="008728CC"/>
    <w:rsid w:val="00872DEF"/>
    <w:rsid w:val="00872E8A"/>
    <w:rsid w:val="00873605"/>
    <w:rsid w:val="00873CF3"/>
    <w:rsid w:val="0087499D"/>
    <w:rsid w:val="008755F9"/>
    <w:rsid w:val="0087596C"/>
    <w:rsid w:val="00875F32"/>
    <w:rsid w:val="00876744"/>
    <w:rsid w:val="00877743"/>
    <w:rsid w:val="00880152"/>
    <w:rsid w:val="00881023"/>
    <w:rsid w:val="00881F65"/>
    <w:rsid w:val="0088225C"/>
    <w:rsid w:val="00882410"/>
    <w:rsid w:val="0088245C"/>
    <w:rsid w:val="00882931"/>
    <w:rsid w:val="00882B19"/>
    <w:rsid w:val="00884572"/>
    <w:rsid w:val="00885621"/>
    <w:rsid w:val="00886375"/>
    <w:rsid w:val="00886651"/>
    <w:rsid w:val="00887A69"/>
    <w:rsid w:val="008904E6"/>
    <w:rsid w:val="0089081C"/>
    <w:rsid w:val="008910FD"/>
    <w:rsid w:val="008915BA"/>
    <w:rsid w:val="0089195A"/>
    <w:rsid w:val="00892599"/>
    <w:rsid w:val="00892730"/>
    <w:rsid w:val="0089331F"/>
    <w:rsid w:val="008939EE"/>
    <w:rsid w:val="008943E4"/>
    <w:rsid w:val="00894430"/>
    <w:rsid w:val="008950AF"/>
    <w:rsid w:val="00895120"/>
    <w:rsid w:val="008952C7"/>
    <w:rsid w:val="00895F3E"/>
    <w:rsid w:val="0089644C"/>
    <w:rsid w:val="00897982"/>
    <w:rsid w:val="008A1082"/>
    <w:rsid w:val="008A13B2"/>
    <w:rsid w:val="008A15B7"/>
    <w:rsid w:val="008A4388"/>
    <w:rsid w:val="008A56CA"/>
    <w:rsid w:val="008A58B2"/>
    <w:rsid w:val="008A619E"/>
    <w:rsid w:val="008A75AE"/>
    <w:rsid w:val="008B08A9"/>
    <w:rsid w:val="008B0C26"/>
    <w:rsid w:val="008B103A"/>
    <w:rsid w:val="008B169D"/>
    <w:rsid w:val="008B2510"/>
    <w:rsid w:val="008B2773"/>
    <w:rsid w:val="008B4F47"/>
    <w:rsid w:val="008B5247"/>
    <w:rsid w:val="008B585F"/>
    <w:rsid w:val="008B5BDB"/>
    <w:rsid w:val="008B6810"/>
    <w:rsid w:val="008C19C9"/>
    <w:rsid w:val="008C2A21"/>
    <w:rsid w:val="008C3462"/>
    <w:rsid w:val="008C3483"/>
    <w:rsid w:val="008C3A95"/>
    <w:rsid w:val="008C3E28"/>
    <w:rsid w:val="008C3EEE"/>
    <w:rsid w:val="008C40F8"/>
    <w:rsid w:val="008C4123"/>
    <w:rsid w:val="008C4A62"/>
    <w:rsid w:val="008C5483"/>
    <w:rsid w:val="008C5FA8"/>
    <w:rsid w:val="008C5FD3"/>
    <w:rsid w:val="008C62A0"/>
    <w:rsid w:val="008C6AF6"/>
    <w:rsid w:val="008D0462"/>
    <w:rsid w:val="008D071D"/>
    <w:rsid w:val="008D07B1"/>
    <w:rsid w:val="008D1771"/>
    <w:rsid w:val="008D2920"/>
    <w:rsid w:val="008D2933"/>
    <w:rsid w:val="008D2FBA"/>
    <w:rsid w:val="008D317F"/>
    <w:rsid w:val="008D319D"/>
    <w:rsid w:val="008D39EA"/>
    <w:rsid w:val="008D3BAE"/>
    <w:rsid w:val="008D4926"/>
    <w:rsid w:val="008D4F88"/>
    <w:rsid w:val="008D58AF"/>
    <w:rsid w:val="008D6405"/>
    <w:rsid w:val="008D7EA4"/>
    <w:rsid w:val="008E1A76"/>
    <w:rsid w:val="008E1CE1"/>
    <w:rsid w:val="008E1F48"/>
    <w:rsid w:val="008E21D8"/>
    <w:rsid w:val="008E4294"/>
    <w:rsid w:val="008E4648"/>
    <w:rsid w:val="008E523B"/>
    <w:rsid w:val="008E5CB4"/>
    <w:rsid w:val="008E5CFB"/>
    <w:rsid w:val="008E6320"/>
    <w:rsid w:val="008E6BD2"/>
    <w:rsid w:val="008E6D82"/>
    <w:rsid w:val="008E6F4A"/>
    <w:rsid w:val="008F025F"/>
    <w:rsid w:val="008F124F"/>
    <w:rsid w:val="008F20DC"/>
    <w:rsid w:val="008F3403"/>
    <w:rsid w:val="008F3ACA"/>
    <w:rsid w:val="008F429C"/>
    <w:rsid w:val="008F56F3"/>
    <w:rsid w:val="008F68B6"/>
    <w:rsid w:val="008F7694"/>
    <w:rsid w:val="008F7D27"/>
    <w:rsid w:val="00900480"/>
    <w:rsid w:val="00900612"/>
    <w:rsid w:val="009018BE"/>
    <w:rsid w:val="00901E54"/>
    <w:rsid w:val="009025B0"/>
    <w:rsid w:val="00902A8A"/>
    <w:rsid w:val="009033F8"/>
    <w:rsid w:val="0090411C"/>
    <w:rsid w:val="00904657"/>
    <w:rsid w:val="00904A92"/>
    <w:rsid w:val="00905376"/>
    <w:rsid w:val="0090583F"/>
    <w:rsid w:val="0090706F"/>
    <w:rsid w:val="009072BA"/>
    <w:rsid w:val="00911813"/>
    <w:rsid w:val="00911B84"/>
    <w:rsid w:val="00912058"/>
    <w:rsid w:val="0091329F"/>
    <w:rsid w:val="009138C5"/>
    <w:rsid w:val="00913AA5"/>
    <w:rsid w:val="00913E45"/>
    <w:rsid w:val="00913FDE"/>
    <w:rsid w:val="009140DB"/>
    <w:rsid w:val="0091425C"/>
    <w:rsid w:val="00914A92"/>
    <w:rsid w:val="00915E94"/>
    <w:rsid w:val="009174E4"/>
    <w:rsid w:val="00921B85"/>
    <w:rsid w:val="00922B69"/>
    <w:rsid w:val="00923276"/>
    <w:rsid w:val="009232C7"/>
    <w:rsid w:val="0092361F"/>
    <w:rsid w:val="009241E5"/>
    <w:rsid w:val="00925885"/>
    <w:rsid w:val="0092759A"/>
    <w:rsid w:val="00927D34"/>
    <w:rsid w:val="0093035E"/>
    <w:rsid w:val="0093181C"/>
    <w:rsid w:val="009344CE"/>
    <w:rsid w:val="009349DC"/>
    <w:rsid w:val="00935205"/>
    <w:rsid w:val="009353BF"/>
    <w:rsid w:val="00936884"/>
    <w:rsid w:val="00937DDD"/>
    <w:rsid w:val="00937EA6"/>
    <w:rsid w:val="00940066"/>
    <w:rsid w:val="009401ED"/>
    <w:rsid w:val="00940FDE"/>
    <w:rsid w:val="00941A22"/>
    <w:rsid w:val="00941ED8"/>
    <w:rsid w:val="0094303A"/>
    <w:rsid w:val="00943A23"/>
    <w:rsid w:val="009452BD"/>
    <w:rsid w:val="009454B2"/>
    <w:rsid w:val="00945A72"/>
    <w:rsid w:val="0094607B"/>
    <w:rsid w:val="009461F6"/>
    <w:rsid w:val="00946768"/>
    <w:rsid w:val="009467EF"/>
    <w:rsid w:val="00946965"/>
    <w:rsid w:val="00946C6B"/>
    <w:rsid w:val="009479E8"/>
    <w:rsid w:val="009518C7"/>
    <w:rsid w:val="009531F9"/>
    <w:rsid w:val="00953C62"/>
    <w:rsid w:val="00954266"/>
    <w:rsid w:val="00954AA3"/>
    <w:rsid w:val="00954F98"/>
    <w:rsid w:val="00955174"/>
    <w:rsid w:val="009553A2"/>
    <w:rsid w:val="00960687"/>
    <w:rsid w:val="009618A3"/>
    <w:rsid w:val="00961A4D"/>
    <w:rsid w:val="00961AA4"/>
    <w:rsid w:val="0096215B"/>
    <w:rsid w:val="0096292F"/>
    <w:rsid w:val="00964C1E"/>
    <w:rsid w:val="00964C92"/>
    <w:rsid w:val="00965284"/>
    <w:rsid w:val="00965650"/>
    <w:rsid w:val="00966498"/>
    <w:rsid w:val="00966D34"/>
    <w:rsid w:val="00966FB5"/>
    <w:rsid w:val="0096704E"/>
    <w:rsid w:val="0096726B"/>
    <w:rsid w:val="00971344"/>
    <w:rsid w:val="009723AB"/>
    <w:rsid w:val="0097243A"/>
    <w:rsid w:val="00972C5F"/>
    <w:rsid w:val="0097401E"/>
    <w:rsid w:val="00974F0A"/>
    <w:rsid w:val="00974F8E"/>
    <w:rsid w:val="00974FC1"/>
    <w:rsid w:val="00975079"/>
    <w:rsid w:val="009755B9"/>
    <w:rsid w:val="00975CC6"/>
    <w:rsid w:val="009766C0"/>
    <w:rsid w:val="00976B00"/>
    <w:rsid w:val="00976B73"/>
    <w:rsid w:val="00977346"/>
    <w:rsid w:val="00977A6D"/>
    <w:rsid w:val="009808D0"/>
    <w:rsid w:val="0098378B"/>
    <w:rsid w:val="00983CD0"/>
    <w:rsid w:val="009847D9"/>
    <w:rsid w:val="009858BF"/>
    <w:rsid w:val="009867F7"/>
    <w:rsid w:val="00986E5D"/>
    <w:rsid w:val="0099093C"/>
    <w:rsid w:val="00990B3B"/>
    <w:rsid w:val="0099219C"/>
    <w:rsid w:val="00992576"/>
    <w:rsid w:val="00992A92"/>
    <w:rsid w:val="0099343E"/>
    <w:rsid w:val="009939ED"/>
    <w:rsid w:val="009947C7"/>
    <w:rsid w:val="0099510D"/>
    <w:rsid w:val="00995E70"/>
    <w:rsid w:val="00996823"/>
    <w:rsid w:val="00996855"/>
    <w:rsid w:val="00996FFC"/>
    <w:rsid w:val="00997EC4"/>
    <w:rsid w:val="009A11D1"/>
    <w:rsid w:val="009A22CE"/>
    <w:rsid w:val="009A29DE"/>
    <w:rsid w:val="009A2F0F"/>
    <w:rsid w:val="009A308C"/>
    <w:rsid w:val="009A30C1"/>
    <w:rsid w:val="009A633D"/>
    <w:rsid w:val="009A6719"/>
    <w:rsid w:val="009A6849"/>
    <w:rsid w:val="009B14E3"/>
    <w:rsid w:val="009B1DB4"/>
    <w:rsid w:val="009B23D9"/>
    <w:rsid w:val="009B3738"/>
    <w:rsid w:val="009B5005"/>
    <w:rsid w:val="009B5F3E"/>
    <w:rsid w:val="009B69AC"/>
    <w:rsid w:val="009B7903"/>
    <w:rsid w:val="009B79FA"/>
    <w:rsid w:val="009B7A4B"/>
    <w:rsid w:val="009C0AAB"/>
    <w:rsid w:val="009C12B7"/>
    <w:rsid w:val="009C1650"/>
    <w:rsid w:val="009C1A47"/>
    <w:rsid w:val="009C1AC8"/>
    <w:rsid w:val="009C33B3"/>
    <w:rsid w:val="009C35CD"/>
    <w:rsid w:val="009C42B7"/>
    <w:rsid w:val="009C437E"/>
    <w:rsid w:val="009C567D"/>
    <w:rsid w:val="009C5A64"/>
    <w:rsid w:val="009C6306"/>
    <w:rsid w:val="009C6801"/>
    <w:rsid w:val="009C6A89"/>
    <w:rsid w:val="009C6D9F"/>
    <w:rsid w:val="009C77A9"/>
    <w:rsid w:val="009D023D"/>
    <w:rsid w:val="009D0643"/>
    <w:rsid w:val="009D07AE"/>
    <w:rsid w:val="009D1482"/>
    <w:rsid w:val="009D17DA"/>
    <w:rsid w:val="009D190A"/>
    <w:rsid w:val="009D251F"/>
    <w:rsid w:val="009D292A"/>
    <w:rsid w:val="009D58B3"/>
    <w:rsid w:val="009D7361"/>
    <w:rsid w:val="009D77B2"/>
    <w:rsid w:val="009E1108"/>
    <w:rsid w:val="009E1849"/>
    <w:rsid w:val="009E2909"/>
    <w:rsid w:val="009E3218"/>
    <w:rsid w:val="009E36C4"/>
    <w:rsid w:val="009E5668"/>
    <w:rsid w:val="009E64E7"/>
    <w:rsid w:val="009E68DC"/>
    <w:rsid w:val="009E6DB0"/>
    <w:rsid w:val="009F01E7"/>
    <w:rsid w:val="009F18DE"/>
    <w:rsid w:val="009F22B0"/>
    <w:rsid w:val="009F3234"/>
    <w:rsid w:val="009F36B1"/>
    <w:rsid w:val="009F3EC9"/>
    <w:rsid w:val="009F402E"/>
    <w:rsid w:val="009F44F2"/>
    <w:rsid w:val="009F45E4"/>
    <w:rsid w:val="009F4CB0"/>
    <w:rsid w:val="009F5299"/>
    <w:rsid w:val="009F5ADC"/>
    <w:rsid w:val="009F623F"/>
    <w:rsid w:val="009F63A1"/>
    <w:rsid w:val="009F6AFE"/>
    <w:rsid w:val="009F73E3"/>
    <w:rsid w:val="009F7C80"/>
    <w:rsid w:val="009F7D6E"/>
    <w:rsid w:val="00A006FB"/>
    <w:rsid w:val="00A021C1"/>
    <w:rsid w:val="00A03DA7"/>
    <w:rsid w:val="00A04812"/>
    <w:rsid w:val="00A04C36"/>
    <w:rsid w:val="00A05A21"/>
    <w:rsid w:val="00A05BE1"/>
    <w:rsid w:val="00A0643B"/>
    <w:rsid w:val="00A10EFA"/>
    <w:rsid w:val="00A12625"/>
    <w:rsid w:val="00A127E6"/>
    <w:rsid w:val="00A12B69"/>
    <w:rsid w:val="00A13EF4"/>
    <w:rsid w:val="00A14091"/>
    <w:rsid w:val="00A15AFB"/>
    <w:rsid w:val="00A15B53"/>
    <w:rsid w:val="00A15D9F"/>
    <w:rsid w:val="00A16210"/>
    <w:rsid w:val="00A17185"/>
    <w:rsid w:val="00A17509"/>
    <w:rsid w:val="00A17B0F"/>
    <w:rsid w:val="00A20460"/>
    <w:rsid w:val="00A21661"/>
    <w:rsid w:val="00A2179F"/>
    <w:rsid w:val="00A21C08"/>
    <w:rsid w:val="00A21EBB"/>
    <w:rsid w:val="00A22633"/>
    <w:rsid w:val="00A2308E"/>
    <w:rsid w:val="00A23F2B"/>
    <w:rsid w:val="00A2417F"/>
    <w:rsid w:val="00A24698"/>
    <w:rsid w:val="00A249D0"/>
    <w:rsid w:val="00A24A4B"/>
    <w:rsid w:val="00A25CF0"/>
    <w:rsid w:val="00A26BCB"/>
    <w:rsid w:val="00A27A82"/>
    <w:rsid w:val="00A30F43"/>
    <w:rsid w:val="00A312BC"/>
    <w:rsid w:val="00A31B58"/>
    <w:rsid w:val="00A32448"/>
    <w:rsid w:val="00A32923"/>
    <w:rsid w:val="00A33196"/>
    <w:rsid w:val="00A3357D"/>
    <w:rsid w:val="00A3378B"/>
    <w:rsid w:val="00A34621"/>
    <w:rsid w:val="00A348D6"/>
    <w:rsid w:val="00A34E4D"/>
    <w:rsid w:val="00A35546"/>
    <w:rsid w:val="00A35EE2"/>
    <w:rsid w:val="00A3640B"/>
    <w:rsid w:val="00A37797"/>
    <w:rsid w:val="00A40115"/>
    <w:rsid w:val="00A40CCA"/>
    <w:rsid w:val="00A4107C"/>
    <w:rsid w:val="00A41092"/>
    <w:rsid w:val="00A414D0"/>
    <w:rsid w:val="00A416DA"/>
    <w:rsid w:val="00A418EA"/>
    <w:rsid w:val="00A42683"/>
    <w:rsid w:val="00A43A10"/>
    <w:rsid w:val="00A44493"/>
    <w:rsid w:val="00A452D9"/>
    <w:rsid w:val="00A4551C"/>
    <w:rsid w:val="00A45595"/>
    <w:rsid w:val="00A45AA2"/>
    <w:rsid w:val="00A4605F"/>
    <w:rsid w:val="00A4702E"/>
    <w:rsid w:val="00A47903"/>
    <w:rsid w:val="00A47C9F"/>
    <w:rsid w:val="00A5015B"/>
    <w:rsid w:val="00A509E5"/>
    <w:rsid w:val="00A51EE6"/>
    <w:rsid w:val="00A52AF4"/>
    <w:rsid w:val="00A537CD"/>
    <w:rsid w:val="00A547EF"/>
    <w:rsid w:val="00A54ACC"/>
    <w:rsid w:val="00A55AA8"/>
    <w:rsid w:val="00A5775F"/>
    <w:rsid w:val="00A57911"/>
    <w:rsid w:val="00A60896"/>
    <w:rsid w:val="00A60B63"/>
    <w:rsid w:val="00A612A2"/>
    <w:rsid w:val="00A61E1C"/>
    <w:rsid w:val="00A61E9F"/>
    <w:rsid w:val="00A636C4"/>
    <w:rsid w:val="00A640BF"/>
    <w:rsid w:val="00A64362"/>
    <w:rsid w:val="00A64A82"/>
    <w:rsid w:val="00A64E48"/>
    <w:rsid w:val="00A65405"/>
    <w:rsid w:val="00A657D6"/>
    <w:rsid w:val="00A66828"/>
    <w:rsid w:val="00A677A8"/>
    <w:rsid w:val="00A702B0"/>
    <w:rsid w:val="00A70567"/>
    <w:rsid w:val="00A708B7"/>
    <w:rsid w:val="00A71412"/>
    <w:rsid w:val="00A71B7F"/>
    <w:rsid w:val="00A726A3"/>
    <w:rsid w:val="00A729CB"/>
    <w:rsid w:val="00A72EC4"/>
    <w:rsid w:val="00A72F6D"/>
    <w:rsid w:val="00A72F90"/>
    <w:rsid w:val="00A7322C"/>
    <w:rsid w:val="00A7518F"/>
    <w:rsid w:val="00A7537A"/>
    <w:rsid w:val="00A7546F"/>
    <w:rsid w:val="00A756DC"/>
    <w:rsid w:val="00A75879"/>
    <w:rsid w:val="00A76DDB"/>
    <w:rsid w:val="00A772AC"/>
    <w:rsid w:val="00A801AA"/>
    <w:rsid w:val="00A80A29"/>
    <w:rsid w:val="00A80E15"/>
    <w:rsid w:val="00A82237"/>
    <w:rsid w:val="00A82282"/>
    <w:rsid w:val="00A8275E"/>
    <w:rsid w:val="00A82B82"/>
    <w:rsid w:val="00A84BB9"/>
    <w:rsid w:val="00A85EDB"/>
    <w:rsid w:val="00A87CC8"/>
    <w:rsid w:val="00A903CB"/>
    <w:rsid w:val="00A90989"/>
    <w:rsid w:val="00A90B2C"/>
    <w:rsid w:val="00A92282"/>
    <w:rsid w:val="00A934C0"/>
    <w:rsid w:val="00A936D4"/>
    <w:rsid w:val="00A94498"/>
    <w:rsid w:val="00A94DC0"/>
    <w:rsid w:val="00A95A14"/>
    <w:rsid w:val="00A97341"/>
    <w:rsid w:val="00A97424"/>
    <w:rsid w:val="00A97C4D"/>
    <w:rsid w:val="00AA023C"/>
    <w:rsid w:val="00AA0333"/>
    <w:rsid w:val="00AA1445"/>
    <w:rsid w:val="00AA1C31"/>
    <w:rsid w:val="00AA3276"/>
    <w:rsid w:val="00AA3570"/>
    <w:rsid w:val="00AA35C9"/>
    <w:rsid w:val="00AA3A91"/>
    <w:rsid w:val="00AA460B"/>
    <w:rsid w:val="00AA46C1"/>
    <w:rsid w:val="00AA490E"/>
    <w:rsid w:val="00AA530A"/>
    <w:rsid w:val="00AA6E1C"/>
    <w:rsid w:val="00AB18D4"/>
    <w:rsid w:val="00AB3627"/>
    <w:rsid w:val="00AB4205"/>
    <w:rsid w:val="00AB4672"/>
    <w:rsid w:val="00AB4688"/>
    <w:rsid w:val="00AB5B24"/>
    <w:rsid w:val="00AB5DE8"/>
    <w:rsid w:val="00AB5FEB"/>
    <w:rsid w:val="00AB60C8"/>
    <w:rsid w:val="00AB7629"/>
    <w:rsid w:val="00AC0F28"/>
    <w:rsid w:val="00AC1037"/>
    <w:rsid w:val="00AC148D"/>
    <w:rsid w:val="00AC3712"/>
    <w:rsid w:val="00AC37B1"/>
    <w:rsid w:val="00AC3869"/>
    <w:rsid w:val="00AC4098"/>
    <w:rsid w:val="00AC43D6"/>
    <w:rsid w:val="00AC494E"/>
    <w:rsid w:val="00AC4C5C"/>
    <w:rsid w:val="00AC518B"/>
    <w:rsid w:val="00AC5DDA"/>
    <w:rsid w:val="00AC6031"/>
    <w:rsid w:val="00AC6DB0"/>
    <w:rsid w:val="00AC7518"/>
    <w:rsid w:val="00AC761C"/>
    <w:rsid w:val="00AC7CE1"/>
    <w:rsid w:val="00AD05A1"/>
    <w:rsid w:val="00AD116F"/>
    <w:rsid w:val="00AD17BF"/>
    <w:rsid w:val="00AD1F5D"/>
    <w:rsid w:val="00AD2B91"/>
    <w:rsid w:val="00AD2BAA"/>
    <w:rsid w:val="00AD2CE0"/>
    <w:rsid w:val="00AD3620"/>
    <w:rsid w:val="00AD3A17"/>
    <w:rsid w:val="00AD3A80"/>
    <w:rsid w:val="00AD3B9A"/>
    <w:rsid w:val="00AD5070"/>
    <w:rsid w:val="00AD6644"/>
    <w:rsid w:val="00AD74C2"/>
    <w:rsid w:val="00AD7601"/>
    <w:rsid w:val="00AE00E4"/>
    <w:rsid w:val="00AE02CE"/>
    <w:rsid w:val="00AE0C8E"/>
    <w:rsid w:val="00AE0F93"/>
    <w:rsid w:val="00AE1483"/>
    <w:rsid w:val="00AE20BD"/>
    <w:rsid w:val="00AE2CD5"/>
    <w:rsid w:val="00AE57C6"/>
    <w:rsid w:val="00AE5E60"/>
    <w:rsid w:val="00AE6D5D"/>
    <w:rsid w:val="00AE7D95"/>
    <w:rsid w:val="00AF02C1"/>
    <w:rsid w:val="00AF0742"/>
    <w:rsid w:val="00AF077F"/>
    <w:rsid w:val="00AF1677"/>
    <w:rsid w:val="00AF1689"/>
    <w:rsid w:val="00AF1FAF"/>
    <w:rsid w:val="00AF2E78"/>
    <w:rsid w:val="00AF42C7"/>
    <w:rsid w:val="00AF5718"/>
    <w:rsid w:val="00AF5A3C"/>
    <w:rsid w:val="00AF5A7C"/>
    <w:rsid w:val="00AF5AD5"/>
    <w:rsid w:val="00AF5EE0"/>
    <w:rsid w:val="00AF6025"/>
    <w:rsid w:val="00AF669C"/>
    <w:rsid w:val="00AF6740"/>
    <w:rsid w:val="00AF6BB8"/>
    <w:rsid w:val="00AF701D"/>
    <w:rsid w:val="00B002E2"/>
    <w:rsid w:val="00B0083C"/>
    <w:rsid w:val="00B01111"/>
    <w:rsid w:val="00B01167"/>
    <w:rsid w:val="00B01BDC"/>
    <w:rsid w:val="00B02035"/>
    <w:rsid w:val="00B02A2B"/>
    <w:rsid w:val="00B03248"/>
    <w:rsid w:val="00B06601"/>
    <w:rsid w:val="00B07F6F"/>
    <w:rsid w:val="00B1092E"/>
    <w:rsid w:val="00B110A7"/>
    <w:rsid w:val="00B1163B"/>
    <w:rsid w:val="00B12BD9"/>
    <w:rsid w:val="00B130E2"/>
    <w:rsid w:val="00B1445D"/>
    <w:rsid w:val="00B14D41"/>
    <w:rsid w:val="00B151DF"/>
    <w:rsid w:val="00B154A7"/>
    <w:rsid w:val="00B20113"/>
    <w:rsid w:val="00B2065B"/>
    <w:rsid w:val="00B207AD"/>
    <w:rsid w:val="00B2098B"/>
    <w:rsid w:val="00B21D79"/>
    <w:rsid w:val="00B21DEA"/>
    <w:rsid w:val="00B21F74"/>
    <w:rsid w:val="00B23107"/>
    <w:rsid w:val="00B23359"/>
    <w:rsid w:val="00B25098"/>
    <w:rsid w:val="00B2697F"/>
    <w:rsid w:val="00B27335"/>
    <w:rsid w:val="00B277F0"/>
    <w:rsid w:val="00B27F2B"/>
    <w:rsid w:val="00B300F8"/>
    <w:rsid w:val="00B3067B"/>
    <w:rsid w:val="00B3079D"/>
    <w:rsid w:val="00B3094E"/>
    <w:rsid w:val="00B3154A"/>
    <w:rsid w:val="00B31AC8"/>
    <w:rsid w:val="00B330F6"/>
    <w:rsid w:val="00B34203"/>
    <w:rsid w:val="00B34572"/>
    <w:rsid w:val="00B348F7"/>
    <w:rsid w:val="00B34BA2"/>
    <w:rsid w:val="00B3507F"/>
    <w:rsid w:val="00B370A2"/>
    <w:rsid w:val="00B37253"/>
    <w:rsid w:val="00B3792B"/>
    <w:rsid w:val="00B4046B"/>
    <w:rsid w:val="00B406E9"/>
    <w:rsid w:val="00B412F7"/>
    <w:rsid w:val="00B420CA"/>
    <w:rsid w:val="00B424DF"/>
    <w:rsid w:val="00B42CCB"/>
    <w:rsid w:val="00B433F4"/>
    <w:rsid w:val="00B43AB6"/>
    <w:rsid w:val="00B43D31"/>
    <w:rsid w:val="00B43F38"/>
    <w:rsid w:val="00B441B2"/>
    <w:rsid w:val="00B443C5"/>
    <w:rsid w:val="00B44D0C"/>
    <w:rsid w:val="00B44E0A"/>
    <w:rsid w:val="00B4513B"/>
    <w:rsid w:val="00B451BC"/>
    <w:rsid w:val="00B463FE"/>
    <w:rsid w:val="00B4754B"/>
    <w:rsid w:val="00B50265"/>
    <w:rsid w:val="00B5081B"/>
    <w:rsid w:val="00B50BAC"/>
    <w:rsid w:val="00B5107D"/>
    <w:rsid w:val="00B51284"/>
    <w:rsid w:val="00B519C5"/>
    <w:rsid w:val="00B52FB5"/>
    <w:rsid w:val="00B531C3"/>
    <w:rsid w:val="00B53A07"/>
    <w:rsid w:val="00B53FB4"/>
    <w:rsid w:val="00B5466F"/>
    <w:rsid w:val="00B55126"/>
    <w:rsid w:val="00B5533E"/>
    <w:rsid w:val="00B555CA"/>
    <w:rsid w:val="00B55B05"/>
    <w:rsid w:val="00B573C7"/>
    <w:rsid w:val="00B577C5"/>
    <w:rsid w:val="00B60A6F"/>
    <w:rsid w:val="00B60E4F"/>
    <w:rsid w:val="00B61128"/>
    <w:rsid w:val="00B61197"/>
    <w:rsid w:val="00B62C0C"/>
    <w:rsid w:val="00B62C59"/>
    <w:rsid w:val="00B62CFD"/>
    <w:rsid w:val="00B62D90"/>
    <w:rsid w:val="00B64334"/>
    <w:rsid w:val="00B6513F"/>
    <w:rsid w:val="00B6584F"/>
    <w:rsid w:val="00B65F94"/>
    <w:rsid w:val="00B66498"/>
    <w:rsid w:val="00B67D26"/>
    <w:rsid w:val="00B70BD7"/>
    <w:rsid w:val="00B70F8D"/>
    <w:rsid w:val="00B71734"/>
    <w:rsid w:val="00B71859"/>
    <w:rsid w:val="00B733AC"/>
    <w:rsid w:val="00B742A1"/>
    <w:rsid w:val="00B754DE"/>
    <w:rsid w:val="00B76806"/>
    <w:rsid w:val="00B779FF"/>
    <w:rsid w:val="00B84014"/>
    <w:rsid w:val="00B84A70"/>
    <w:rsid w:val="00B84DE6"/>
    <w:rsid w:val="00B85961"/>
    <w:rsid w:val="00B864F5"/>
    <w:rsid w:val="00B86DE2"/>
    <w:rsid w:val="00B87D27"/>
    <w:rsid w:val="00B87EC7"/>
    <w:rsid w:val="00B9038A"/>
    <w:rsid w:val="00B90B19"/>
    <w:rsid w:val="00B91592"/>
    <w:rsid w:val="00B91EC8"/>
    <w:rsid w:val="00B920FE"/>
    <w:rsid w:val="00B93A32"/>
    <w:rsid w:val="00B93EFA"/>
    <w:rsid w:val="00B94284"/>
    <w:rsid w:val="00B94686"/>
    <w:rsid w:val="00B96A91"/>
    <w:rsid w:val="00B9786C"/>
    <w:rsid w:val="00B97E68"/>
    <w:rsid w:val="00B97FA5"/>
    <w:rsid w:val="00BA11CB"/>
    <w:rsid w:val="00BA17C8"/>
    <w:rsid w:val="00BA19FF"/>
    <w:rsid w:val="00BA201F"/>
    <w:rsid w:val="00BA2547"/>
    <w:rsid w:val="00BA382F"/>
    <w:rsid w:val="00BA52B9"/>
    <w:rsid w:val="00BA7B15"/>
    <w:rsid w:val="00BA7B9E"/>
    <w:rsid w:val="00BA7F48"/>
    <w:rsid w:val="00BB26FB"/>
    <w:rsid w:val="00BB26FE"/>
    <w:rsid w:val="00BB286A"/>
    <w:rsid w:val="00BB298A"/>
    <w:rsid w:val="00BB2D63"/>
    <w:rsid w:val="00BB339A"/>
    <w:rsid w:val="00BB3736"/>
    <w:rsid w:val="00BB3DFB"/>
    <w:rsid w:val="00BB41C2"/>
    <w:rsid w:val="00BB4630"/>
    <w:rsid w:val="00BB671E"/>
    <w:rsid w:val="00BB6C41"/>
    <w:rsid w:val="00BB6D60"/>
    <w:rsid w:val="00BB75B1"/>
    <w:rsid w:val="00BB7976"/>
    <w:rsid w:val="00BB7C97"/>
    <w:rsid w:val="00BC16D5"/>
    <w:rsid w:val="00BC2066"/>
    <w:rsid w:val="00BC39C9"/>
    <w:rsid w:val="00BC4A60"/>
    <w:rsid w:val="00BC4FE0"/>
    <w:rsid w:val="00BC504B"/>
    <w:rsid w:val="00BC53E8"/>
    <w:rsid w:val="00BC5FE1"/>
    <w:rsid w:val="00BC6074"/>
    <w:rsid w:val="00BC6401"/>
    <w:rsid w:val="00BC7390"/>
    <w:rsid w:val="00BC786F"/>
    <w:rsid w:val="00BD0C59"/>
    <w:rsid w:val="00BD12C3"/>
    <w:rsid w:val="00BD1A40"/>
    <w:rsid w:val="00BD306F"/>
    <w:rsid w:val="00BD31AB"/>
    <w:rsid w:val="00BD34AC"/>
    <w:rsid w:val="00BD3927"/>
    <w:rsid w:val="00BD5C8D"/>
    <w:rsid w:val="00BD5D62"/>
    <w:rsid w:val="00BD60D0"/>
    <w:rsid w:val="00BD697C"/>
    <w:rsid w:val="00BE1695"/>
    <w:rsid w:val="00BE2231"/>
    <w:rsid w:val="00BE27F0"/>
    <w:rsid w:val="00BE302C"/>
    <w:rsid w:val="00BE346E"/>
    <w:rsid w:val="00BE38CE"/>
    <w:rsid w:val="00BE5250"/>
    <w:rsid w:val="00BE5E4E"/>
    <w:rsid w:val="00BE6DA8"/>
    <w:rsid w:val="00BE72F1"/>
    <w:rsid w:val="00BF006D"/>
    <w:rsid w:val="00BF024A"/>
    <w:rsid w:val="00BF0FED"/>
    <w:rsid w:val="00BF11CF"/>
    <w:rsid w:val="00BF17AB"/>
    <w:rsid w:val="00BF1E4F"/>
    <w:rsid w:val="00BF208F"/>
    <w:rsid w:val="00BF2D66"/>
    <w:rsid w:val="00BF2D96"/>
    <w:rsid w:val="00BF2DE0"/>
    <w:rsid w:val="00BF333C"/>
    <w:rsid w:val="00BF33D7"/>
    <w:rsid w:val="00BF3E72"/>
    <w:rsid w:val="00BF43F7"/>
    <w:rsid w:val="00BF5694"/>
    <w:rsid w:val="00BF6FEE"/>
    <w:rsid w:val="00BF7191"/>
    <w:rsid w:val="00BF7A11"/>
    <w:rsid w:val="00BF7CA2"/>
    <w:rsid w:val="00C019AD"/>
    <w:rsid w:val="00C01A9E"/>
    <w:rsid w:val="00C01E44"/>
    <w:rsid w:val="00C02F78"/>
    <w:rsid w:val="00C04988"/>
    <w:rsid w:val="00C056A2"/>
    <w:rsid w:val="00C05CAA"/>
    <w:rsid w:val="00C0647A"/>
    <w:rsid w:val="00C06C93"/>
    <w:rsid w:val="00C0766D"/>
    <w:rsid w:val="00C07826"/>
    <w:rsid w:val="00C07BAF"/>
    <w:rsid w:val="00C1000A"/>
    <w:rsid w:val="00C10AAA"/>
    <w:rsid w:val="00C114FD"/>
    <w:rsid w:val="00C11F48"/>
    <w:rsid w:val="00C13112"/>
    <w:rsid w:val="00C14E90"/>
    <w:rsid w:val="00C150D9"/>
    <w:rsid w:val="00C16692"/>
    <w:rsid w:val="00C16DDF"/>
    <w:rsid w:val="00C200CE"/>
    <w:rsid w:val="00C20646"/>
    <w:rsid w:val="00C20703"/>
    <w:rsid w:val="00C20EA2"/>
    <w:rsid w:val="00C2389B"/>
    <w:rsid w:val="00C241F1"/>
    <w:rsid w:val="00C2425D"/>
    <w:rsid w:val="00C242EA"/>
    <w:rsid w:val="00C2497D"/>
    <w:rsid w:val="00C24E03"/>
    <w:rsid w:val="00C24E67"/>
    <w:rsid w:val="00C2533A"/>
    <w:rsid w:val="00C25385"/>
    <w:rsid w:val="00C25BFC"/>
    <w:rsid w:val="00C25C7D"/>
    <w:rsid w:val="00C26277"/>
    <w:rsid w:val="00C26DA3"/>
    <w:rsid w:val="00C26EC5"/>
    <w:rsid w:val="00C27ED3"/>
    <w:rsid w:val="00C32489"/>
    <w:rsid w:val="00C32BB4"/>
    <w:rsid w:val="00C34038"/>
    <w:rsid w:val="00C3542C"/>
    <w:rsid w:val="00C369BD"/>
    <w:rsid w:val="00C36F7B"/>
    <w:rsid w:val="00C3794E"/>
    <w:rsid w:val="00C40C8E"/>
    <w:rsid w:val="00C4103A"/>
    <w:rsid w:val="00C41AE3"/>
    <w:rsid w:val="00C421F0"/>
    <w:rsid w:val="00C42FBF"/>
    <w:rsid w:val="00C43F02"/>
    <w:rsid w:val="00C43F07"/>
    <w:rsid w:val="00C4554E"/>
    <w:rsid w:val="00C45B3B"/>
    <w:rsid w:val="00C46599"/>
    <w:rsid w:val="00C4702B"/>
    <w:rsid w:val="00C5061B"/>
    <w:rsid w:val="00C50C09"/>
    <w:rsid w:val="00C50F73"/>
    <w:rsid w:val="00C51824"/>
    <w:rsid w:val="00C5282F"/>
    <w:rsid w:val="00C53800"/>
    <w:rsid w:val="00C53A06"/>
    <w:rsid w:val="00C53E85"/>
    <w:rsid w:val="00C54575"/>
    <w:rsid w:val="00C54CA8"/>
    <w:rsid w:val="00C5588C"/>
    <w:rsid w:val="00C57BB6"/>
    <w:rsid w:val="00C61662"/>
    <w:rsid w:val="00C62121"/>
    <w:rsid w:val="00C62A66"/>
    <w:rsid w:val="00C62B13"/>
    <w:rsid w:val="00C62D76"/>
    <w:rsid w:val="00C66DD2"/>
    <w:rsid w:val="00C67E8A"/>
    <w:rsid w:val="00C700C7"/>
    <w:rsid w:val="00C7065F"/>
    <w:rsid w:val="00C71427"/>
    <w:rsid w:val="00C72447"/>
    <w:rsid w:val="00C72812"/>
    <w:rsid w:val="00C7320D"/>
    <w:rsid w:val="00C7324B"/>
    <w:rsid w:val="00C739EC"/>
    <w:rsid w:val="00C73EF9"/>
    <w:rsid w:val="00C741B9"/>
    <w:rsid w:val="00C749B2"/>
    <w:rsid w:val="00C7570F"/>
    <w:rsid w:val="00C7573E"/>
    <w:rsid w:val="00C764E1"/>
    <w:rsid w:val="00C76D5C"/>
    <w:rsid w:val="00C76FCC"/>
    <w:rsid w:val="00C77098"/>
    <w:rsid w:val="00C8261B"/>
    <w:rsid w:val="00C8367A"/>
    <w:rsid w:val="00C8381B"/>
    <w:rsid w:val="00C83CCB"/>
    <w:rsid w:val="00C840EB"/>
    <w:rsid w:val="00C84110"/>
    <w:rsid w:val="00C8425A"/>
    <w:rsid w:val="00C84F8C"/>
    <w:rsid w:val="00C85533"/>
    <w:rsid w:val="00C85BF7"/>
    <w:rsid w:val="00C86347"/>
    <w:rsid w:val="00C86D29"/>
    <w:rsid w:val="00C87106"/>
    <w:rsid w:val="00C90BA8"/>
    <w:rsid w:val="00C9178A"/>
    <w:rsid w:val="00C92344"/>
    <w:rsid w:val="00C92431"/>
    <w:rsid w:val="00C9248C"/>
    <w:rsid w:val="00C92A3A"/>
    <w:rsid w:val="00C93BAD"/>
    <w:rsid w:val="00C94B6B"/>
    <w:rsid w:val="00C94C32"/>
    <w:rsid w:val="00C950D7"/>
    <w:rsid w:val="00C9621C"/>
    <w:rsid w:val="00C97182"/>
    <w:rsid w:val="00C978C3"/>
    <w:rsid w:val="00C97A62"/>
    <w:rsid w:val="00CA11B3"/>
    <w:rsid w:val="00CA23C3"/>
    <w:rsid w:val="00CA295E"/>
    <w:rsid w:val="00CA296D"/>
    <w:rsid w:val="00CA2E38"/>
    <w:rsid w:val="00CA3044"/>
    <w:rsid w:val="00CA4392"/>
    <w:rsid w:val="00CA74C6"/>
    <w:rsid w:val="00CB0F48"/>
    <w:rsid w:val="00CB1419"/>
    <w:rsid w:val="00CB166A"/>
    <w:rsid w:val="00CB1F7F"/>
    <w:rsid w:val="00CB1FE6"/>
    <w:rsid w:val="00CB2B1A"/>
    <w:rsid w:val="00CB2DAA"/>
    <w:rsid w:val="00CB4730"/>
    <w:rsid w:val="00CB5366"/>
    <w:rsid w:val="00CB54E5"/>
    <w:rsid w:val="00CB5515"/>
    <w:rsid w:val="00CB57D0"/>
    <w:rsid w:val="00CB5A80"/>
    <w:rsid w:val="00CB5D7B"/>
    <w:rsid w:val="00CB7830"/>
    <w:rsid w:val="00CC0CBE"/>
    <w:rsid w:val="00CC1612"/>
    <w:rsid w:val="00CC1804"/>
    <w:rsid w:val="00CC1ADD"/>
    <w:rsid w:val="00CC1BF7"/>
    <w:rsid w:val="00CC2070"/>
    <w:rsid w:val="00CC26AA"/>
    <w:rsid w:val="00CC2E0D"/>
    <w:rsid w:val="00CC3637"/>
    <w:rsid w:val="00CC3D91"/>
    <w:rsid w:val="00CC49A2"/>
    <w:rsid w:val="00CC5191"/>
    <w:rsid w:val="00CC5264"/>
    <w:rsid w:val="00CC61D1"/>
    <w:rsid w:val="00CC6E65"/>
    <w:rsid w:val="00CC7E3E"/>
    <w:rsid w:val="00CD01B5"/>
    <w:rsid w:val="00CD0372"/>
    <w:rsid w:val="00CD0F30"/>
    <w:rsid w:val="00CD125A"/>
    <w:rsid w:val="00CD148C"/>
    <w:rsid w:val="00CD2F6F"/>
    <w:rsid w:val="00CD4609"/>
    <w:rsid w:val="00CD5B2D"/>
    <w:rsid w:val="00CD67CA"/>
    <w:rsid w:val="00CE001B"/>
    <w:rsid w:val="00CE0D03"/>
    <w:rsid w:val="00CE1396"/>
    <w:rsid w:val="00CE1617"/>
    <w:rsid w:val="00CE1C00"/>
    <w:rsid w:val="00CE1F3D"/>
    <w:rsid w:val="00CE4680"/>
    <w:rsid w:val="00CE591C"/>
    <w:rsid w:val="00CE6056"/>
    <w:rsid w:val="00CE6ABD"/>
    <w:rsid w:val="00CE6D76"/>
    <w:rsid w:val="00CE71F2"/>
    <w:rsid w:val="00CF03C9"/>
    <w:rsid w:val="00CF0990"/>
    <w:rsid w:val="00CF0B44"/>
    <w:rsid w:val="00CF14E4"/>
    <w:rsid w:val="00CF1AD6"/>
    <w:rsid w:val="00CF2681"/>
    <w:rsid w:val="00CF280E"/>
    <w:rsid w:val="00CF28FD"/>
    <w:rsid w:val="00CF321F"/>
    <w:rsid w:val="00CF35E0"/>
    <w:rsid w:val="00CF3873"/>
    <w:rsid w:val="00CF40B0"/>
    <w:rsid w:val="00CF505D"/>
    <w:rsid w:val="00CF5194"/>
    <w:rsid w:val="00CF5D1A"/>
    <w:rsid w:val="00CF5DBF"/>
    <w:rsid w:val="00CF7670"/>
    <w:rsid w:val="00CF7B18"/>
    <w:rsid w:val="00D0049D"/>
    <w:rsid w:val="00D02061"/>
    <w:rsid w:val="00D022E5"/>
    <w:rsid w:val="00D02A2B"/>
    <w:rsid w:val="00D02BFB"/>
    <w:rsid w:val="00D03AA1"/>
    <w:rsid w:val="00D03E5B"/>
    <w:rsid w:val="00D04FAB"/>
    <w:rsid w:val="00D053A6"/>
    <w:rsid w:val="00D05E72"/>
    <w:rsid w:val="00D06F34"/>
    <w:rsid w:val="00D07270"/>
    <w:rsid w:val="00D073F4"/>
    <w:rsid w:val="00D10B75"/>
    <w:rsid w:val="00D10D13"/>
    <w:rsid w:val="00D10E13"/>
    <w:rsid w:val="00D11366"/>
    <w:rsid w:val="00D11FBB"/>
    <w:rsid w:val="00D12672"/>
    <w:rsid w:val="00D14F6F"/>
    <w:rsid w:val="00D15AD6"/>
    <w:rsid w:val="00D160F3"/>
    <w:rsid w:val="00D165B6"/>
    <w:rsid w:val="00D16A07"/>
    <w:rsid w:val="00D2069E"/>
    <w:rsid w:val="00D2265D"/>
    <w:rsid w:val="00D23B49"/>
    <w:rsid w:val="00D24AAC"/>
    <w:rsid w:val="00D24D06"/>
    <w:rsid w:val="00D254D8"/>
    <w:rsid w:val="00D25D78"/>
    <w:rsid w:val="00D27410"/>
    <w:rsid w:val="00D27924"/>
    <w:rsid w:val="00D27B9D"/>
    <w:rsid w:val="00D27ED5"/>
    <w:rsid w:val="00D30131"/>
    <w:rsid w:val="00D31104"/>
    <w:rsid w:val="00D3163D"/>
    <w:rsid w:val="00D317B7"/>
    <w:rsid w:val="00D32446"/>
    <w:rsid w:val="00D3274F"/>
    <w:rsid w:val="00D3299E"/>
    <w:rsid w:val="00D33076"/>
    <w:rsid w:val="00D340A1"/>
    <w:rsid w:val="00D35B14"/>
    <w:rsid w:val="00D35D83"/>
    <w:rsid w:val="00D3667A"/>
    <w:rsid w:val="00D4072A"/>
    <w:rsid w:val="00D40786"/>
    <w:rsid w:val="00D40DE8"/>
    <w:rsid w:val="00D432DC"/>
    <w:rsid w:val="00D43B2B"/>
    <w:rsid w:val="00D43EC0"/>
    <w:rsid w:val="00D44736"/>
    <w:rsid w:val="00D44C16"/>
    <w:rsid w:val="00D44F3F"/>
    <w:rsid w:val="00D45822"/>
    <w:rsid w:val="00D46A14"/>
    <w:rsid w:val="00D46DD5"/>
    <w:rsid w:val="00D472D6"/>
    <w:rsid w:val="00D474CE"/>
    <w:rsid w:val="00D47E84"/>
    <w:rsid w:val="00D502C5"/>
    <w:rsid w:val="00D5063D"/>
    <w:rsid w:val="00D5133B"/>
    <w:rsid w:val="00D51E4D"/>
    <w:rsid w:val="00D51E8E"/>
    <w:rsid w:val="00D522EA"/>
    <w:rsid w:val="00D52729"/>
    <w:rsid w:val="00D5382D"/>
    <w:rsid w:val="00D54078"/>
    <w:rsid w:val="00D55379"/>
    <w:rsid w:val="00D55D49"/>
    <w:rsid w:val="00D55D7B"/>
    <w:rsid w:val="00D55D82"/>
    <w:rsid w:val="00D566B5"/>
    <w:rsid w:val="00D568AA"/>
    <w:rsid w:val="00D56F67"/>
    <w:rsid w:val="00D57E9E"/>
    <w:rsid w:val="00D6070F"/>
    <w:rsid w:val="00D61255"/>
    <w:rsid w:val="00D61BA4"/>
    <w:rsid w:val="00D61CC9"/>
    <w:rsid w:val="00D61F3B"/>
    <w:rsid w:val="00D62534"/>
    <w:rsid w:val="00D634E8"/>
    <w:rsid w:val="00D63896"/>
    <w:rsid w:val="00D64622"/>
    <w:rsid w:val="00D651CA"/>
    <w:rsid w:val="00D652F7"/>
    <w:rsid w:val="00D65FAF"/>
    <w:rsid w:val="00D65FF5"/>
    <w:rsid w:val="00D667B7"/>
    <w:rsid w:val="00D677F0"/>
    <w:rsid w:val="00D67D53"/>
    <w:rsid w:val="00D67DC1"/>
    <w:rsid w:val="00D701CD"/>
    <w:rsid w:val="00D7115B"/>
    <w:rsid w:val="00D7167F"/>
    <w:rsid w:val="00D72B03"/>
    <w:rsid w:val="00D7400F"/>
    <w:rsid w:val="00D75751"/>
    <w:rsid w:val="00D75CB1"/>
    <w:rsid w:val="00D768BD"/>
    <w:rsid w:val="00D7744C"/>
    <w:rsid w:val="00D77687"/>
    <w:rsid w:val="00D811BE"/>
    <w:rsid w:val="00D815AA"/>
    <w:rsid w:val="00D845A3"/>
    <w:rsid w:val="00D84A29"/>
    <w:rsid w:val="00D86CD9"/>
    <w:rsid w:val="00D87299"/>
    <w:rsid w:val="00D876E6"/>
    <w:rsid w:val="00D902DE"/>
    <w:rsid w:val="00D90B24"/>
    <w:rsid w:val="00D90D38"/>
    <w:rsid w:val="00D912C1"/>
    <w:rsid w:val="00D91581"/>
    <w:rsid w:val="00D91855"/>
    <w:rsid w:val="00D91D5D"/>
    <w:rsid w:val="00D9221B"/>
    <w:rsid w:val="00D922A8"/>
    <w:rsid w:val="00D927DB"/>
    <w:rsid w:val="00D93A59"/>
    <w:rsid w:val="00D949D1"/>
    <w:rsid w:val="00D94F23"/>
    <w:rsid w:val="00D95D93"/>
    <w:rsid w:val="00D95EE4"/>
    <w:rsid w:val="00D962B6"/>
    <w:rsid w:val="00D96BD3"/>
    <w:rsid w:val="00D96D1B"/>
    <w:rsid w:val="00D9714A"/>
    <w:rsid w:val="00D97CBE"/>
    <w:rsid w:val="00DA0B5D"/>
    <w:rsid w:val="00DA0D61"/>
    <w:rsid w:val="00DA0F80"/>
    <w:rsid w:val="00DA2D5C"/>
    <w:rsid w:val="00DA4756"/>
    <w:rsid w:val="00DA4992"/>
    <w:rsid w:val="00DA4B81"/>
    <w:rsid w:val="00DA54FA"/>
    <w:rsid w:val="00DA564B"/>
    <w:rsid w:val="00DA59A3"/>
    <w:rsid w:val="00DA638B"/>
    <w:rsid w:val="00DB06C6"/>
    <w:rsid w:val="00DB188B"/>
    <w:rsid w:val="00DB1BFE"/>
    <w:rsid w:val="00DB23EC"/>
    <w:rsid w:val="00DB2934"/>
    <w:rsid w:val="00DB31A2"/>
    <w:rsid w:val="00DB360F"/>
    <w:rsid w:val="00DB3B9E"/>
    <w:rsid w:val="00DB3D51"/>
    <w:rsid w:val="00DB3E9A"/>
    <w:rsid w:val="00DB4528"/>
    <w:rsid w:val="00DB4899"/>
    <w:rsid w:val="00DB4DCF"/>
    <w:rsid w:val="00DB54BF"/>
    <w:rsid w:val="00DB5FCE"/>
    <w:rsid w:val="00DB69C5"/>
    <w:rsid w:val="00DB71A5"/>
    <w:rsid w:val="00DB7E26"/>
    <w:rsid w:val="00DB7F31"/>
    <w:rsid w:val="00DC048D"/>
    <w:rsid w:val="00DC04F6"/>
    <w:rsid w:val="00DC085F"/>
    <w:rsid w:val="00DC0B68"/>
    <w:rsid w:val="00DC1792"/>
    <w:rsid w:val="00DC193A"/>
    <w:rsid w:val="00DC1A5A"/>
    <w:rsid w:val="00DC1CCB"/>
    <w:rsid w:val="00DC2E68"/>
    <w:rsid w:val="00DC3A2C"/>
    <w:rsid w:val="00DC3CF6"/>
    <w:rsid w:val="00DC4D48"/>
    <w:rsid w:val="00DC5443"/>
    <w:rsid w:val="00DC5C38"/>
    <w:rsid w:val="00DC6C28"/>
    <w:rsid w:val="00DC6E4F"/>
    <w:rsid w:val="00DC79C8"/>
    <w:rsid w:val="00DC7A4F"/>
    <w:rsid w:val="00DD0259"/>
    <w:rsid w:val="00DD030C"/>
    <w:rsid w:val="00DD037E"/>
    <w:rsid w:val="00DD046A"/>
    <w:rsid w:val="00DD0A89"/>
    <w:rsid w:val="00DD279B"/>
    <w:rsid w:val="00DD34AD"/>
    <w:rsid w:val="00DD3FD4"/>
    <w:rsid w:val="00DD58F5"/>
    <w:rsid w:val="00DD6738"/>
    <w:rsid w:val="00DD6A3D"/>
    <w:rsid w:val="00DD711A"/>
    <w:rsid w:val="00DE3733"/>
    <w:rsid w:val="00DE38EE"/>
    <w:rsid w:val="00DE42BC"/>
    <w:rsid w:val="00DE4D1C"/>
    <w:rsid w:val="00DE5425"/>
    <w:rsid w:val="00DE710B"/>
    <w:rsid w:val="00DE731A"/>
    <w:rsid w:val="00DF059A"/>
    <w:rsid w:val="00DF07A3"/>
    <w:rsid w:val="00DF0A7C"/>
    <w:rsid w:val="00DF2E94"/>
    <w:rsid w:val="00DF2F9A"/>
    <w:rsid w:val="00DF30F2"/>
    <w:rsid w:val="00DF3C53"/>
    <w:rsid w:val="00DF3E95"/>
    <w:rsid w:val="00DF4990"/>
    <w:rsid w:val="00DF5516"/>
    <w:rsid w:val="00DF5D18"/>
    <w:rsid w:val="00DF63AF"/>
    <w:rsid w:val="00DF6A9E"/>
    <w:rsid w:val="00DF7060"/>
    <w:rsid w:val="00E00163"/>
    <w:rsid w:val="00E006A1"/>
    <w:rsid w:val="00E01682"/>
    <w:rsid w:val="00E01DFD"/>
    <w:rsid w:val="00E028CE"/>
    <w:rsid w:val="00E0328E"/>
    <w:rsid w:val="00E03423"/>
    <w:rsid w:val="00E05938"/>
    <w:rsid w:val="00E05ACE"/>
    <w:rsid w:val="00E05D2E"/>
    <w:rsid w:val="00E06804"/>
    <w:rsid w:val="00E07D90"/>
    <w:rsid w:val="00E07D9B"/>
    <w:rsid w:val="00E11186"/>
    <w:rsid w:val="00E11DCC"/>
    <w:rsid w:val="00E14144"/>
    <w:rsid w:val="00E14F07"/>
    <w:rsid w:val="00E15526"/>
    <w:rsid w:val="00E15584"/>
    <w:rsid w:val="00E15682"/>
    <w:rsid w:val="00E15A37"/>
    <w:rsid w:val="00E1668F"/>
    <w:rsid w:val="00E1710A"/>
    <w:rsid w:val="00E17989"/>
    <w:rsid w:val="00E17A2A"/>
    <w:rsid w:val="00E17D34"/>
    <w:rsid w:val="00E201E8"/>
    <w:rsid w:val="00E20C51"/>
    <w:rsid w:val="00E222E9"/>
    <w:rsid w:val="00E22AAB"/>
    <w:rsid w:val="00E23269"/>
    <w:rsid w:val="00E24117"/>
    <w:rsid w:val="00E2415E"/>
    <w:rsid w:val="00E2481B"/>
    <w:rsid w:val="00E27978"/>
    <w:rsid w:val="00E27B5A"/>
    <w:rsid w:val="00E30039"/>
    <w:rsid w:val="00E30425"/>
    <w:rsid w:val="00E307D1"/>
    <w:rsid w:val="00E31335"/>
    <w:rsid w:val="00E3135E"/>
    <w:rsid w:val="00E32621"/>
    <w:rsid w:val="00E352E5"/>
    <w:rsid w:val="00E37566"/>
    <w:rsid w:val="00E37769"/>
    <w:rsid w:val="00E40FB0"/>
    <w:rsid w:val="00E416B0"/>
    <w:rsid w:val="00E42100"/>
    <w:rsid w:val="00E4242F"/>
    <w:rsid w:val="00E43280"/>
    <w:rsid w:val="00E4350A"/>
    <w:rsid w:val="00E43A37"/>
    <w:rsid w:val="00E43B0C"/>
    <w:rsid w:val="00E4432E"/>
    <w:rsid w:val="00E4489C"/>
    <w:rsid w:val="00E44BFF"/>
    <w:rsid w:val="00E4554E"/>
    <w:rsid w:val="00E4593D"/>
    <w:rsid w:val="00E468FE"/>
    <w:rsid w:val="00E47042"/>
    <w:rsid w:val="00E476A9"/>
    <w:rsid w:val="00E476DE"/>
    <w:rsid w:val="00E47839"/>
    <w:rsid w:val="00E50863"/>
    <w:rsid w:val="00E50A55"/>
    <w:rsid w:val="00E52775"/>
    <w:rsid w:val="00E53B18"/>
    <w:rsid w:val="00E5632D"/>
    <w:rsid w:val="00E56707"/>
    <w:rsid w:val="00E57B14"/>
    <w:rsid w:val="00E61AA5"/>
    <w:rsid w:val="00E6215E"/>
    <w:rsid w:val="00E63785"/>
    <w:rsid w:val="00E64291"/>
    <w:rsid w:val="00E64E50"/>
    <w:rsid w:val="00E650DD"/>
    <w:rsid w:val="00E65177"/>
    <w:rsid w:val="00E65562"/>
    <w:rsid w:val="00E660D8"/>
    <w:rsid w:val="00E66C85"/>
    <w:rsid w:val="00E66EFC"/>
    <w:rsid w:val="00E71EF5"/>
    <w:rsid w:val="00E721DF"/>
    <w:rsid w:val="00E72C1D"/>
    <w:rsid w:val="00E735B7"/>
    <w:rsid w:val="00E7415A"/>
    <w:rsid w:val="00E74241"/>
    <w:rsid w:val="00E74423"/>
    <w:rsid w:val="00E75092"/>
    <w:rsid w:val="00E75B35"/>
    <w:rsid w:val="00E765D2"/>
    <w:rsid w:val="00E76E60"/>
    <w:rsid w:val="00E77E5A"/>
    <w:rsid w:val="00E80318"/>
    <w:rsid w:val="00E8051C"/>
    <w:rsid w:val="00E81F75"/>
    <w:rsid w:val="00E82415"/>
    <w:rsid w:val="00E82DCB"/>
    <w:rsid w:val="00E8367A"/>
    <w:rsid w:val="00E836CE"/>
    <w:rsid w:val="00E86515"/>
    <w:rsid w:val="00E86A13"/>
    <w:rsid w:val="00E874A7"/>
    <w:rsid w:val="00E87BB5"/>
    <w:rsid w:val="00E91B87"/>
    <w:rsid w:val="00E92763"/>
    <w:rsid w:val="00E93A3F"/>
    <w:rsid w:val="00E93B6F"/>
    <w:rsid w:val="00E93BCF"/>
    <w:rsid w:val="00E9417F"/>
    <w:rsid w:val="00E95B48"/>
    <w:rsid w:val="00E960E0"/>
    <w:rsid w:val="00E97124"/>
    <w:rsid w:val="00EA0A21"/>
    <w:rsid w:val="00EA0BB1"/>
    <w:rsid w:val="00EA158B"/>
    <w:rsid w:val="00EA1A4B"/>
    <w:rsid w:val="00EA1AA1"/>
    <w:rsid w:val="00EA1E87"/>
    <w:rsid w:val="00EA328D"/>
    <w:rsid w:val="00EA44E9"/>
    <w:rsid w:val="00EA6022"/>
    <w:rsid w:val="00EA6C85"/>
    <w:rsid w:val="00EA7E39"/>
    <w:rsid w:val="00EB009E"/>
    <w:rsid w:val="00EB06C6"/>
    <w:rsid w:val="00EB0997"/>
    <w:rsid w:val="00EB3D4F"/>
    <w:rsid w:val="00EB43FE"/>
    <w:rsid w:val="00EB6380"/>
    <w:rsid w:val="00EB7409"/>
    <w:rsid w:val="00EB78AC"/>
    <w:rsid w:val="00EB7950"/>
    <w:rsid w:val="00EB7D0B"/>
    <w:rsid w:val="00EC121A"/>
    <w:rsid w:val="00EC1279"/>
    <w:rsid w:val="00EC12F0"/>
    <w:rsid w:val="00EC16BE"/>
    <w:rsid w:val="00EC1DB9"/>
    <w:rsid w:val="00EC2674"/>
    <w:rsid w:val="00EC2698"/>
    <w:rsid w:val="00EC2CFD"/>
    <w:rsid w:val="00EC3015"/>
    <w:rsid w:val="00EC3E88"/>
    <w:rsid w:val="00EC45BC"/>
    <w:rsid w:val="00EC4774"/>
    <w:rsid w:val="00EC5EF6"/>
    <w:rsid w:val="00EC6042"/>
    <w:rsid w:val="00EC669F"/>
    <w:rsid w:val="00EC7751"/>
    <w:rsid w:val="00ED05F6"/>
    <w:rsid w:val="00ED1DE4"/>
    <w:rsid w:val="00ED1EE0"/>
    <w:rsid w:val="00ED2410"/>
    <w:rsid w:val="00ED31A0"/>
    <w:rsid w:val="00ED3ADF"/>
    <w:rsid w:val="00ED553C"/>
    <w:rsid w:val="00ED555E"/>
    <w:rsid w:val="00ED633A"/>
    <w:rsid w:val="00ED7610"/>
    <w:rsid w:val="00ED7877"/>
    <w:rsid w:val="00EE0DBB"/>
    <w:rsid w:val="00EE10F4"/>
    <w:rsid w:val="00EE1D10"/>
    <w:rsid w:val="00EE2CD4"/>
    <w:rsid w:val="00EE2FBF"/>
    <w:rsid w:val="00EE36DC"/>
    <w:rsid w:val="00EE5A41"/>
    <w:rsid w:val="00EE6A7B"/>
    <w:rsid w:val="00EF03F6"/>
    <w:rsid w:val="00EF084A"/>
    <w:rsid w:val="00EF1052"/>
    <w:rsid w:val="00EF13E9"/>
    <w:rsid w:val="00EF16D5"/>
    <w:rsid w:val="00EF1703"/>
    <w:rsid w:val="00EF274C"/>
    <w:rsid w:val="00EF3975"/>
    <w:rsid w:val="00EF3A0C"/>
    <w:rsid w:val="00EF3DB0"/>
    <w:rsid w:val="00EF472E"/>
    <w:rsid w:val="00EF4910"/>
    <w:rsid w:val="00EF4E11"/>
    <w:rsid w:val="00EF5178"/>
    <w:rsid w:val="00EF7759"/>
    <w:rsid w:val="00F004CB"/>
    <w:rsid w:val="00F013FE"/>
    <w:rsid w:val="00F01C6E"/>
    <w:rsid w:val="00F01DA1"/>
    <w:rsid w:val="00F01F8E"/>
    <w:rsid w:val="00F0346B"/>
    <w:rsid w:val="00F03A97"/>
    <w:rsid w:val="00F03C65"/>
    <w:rsid w:val="00F045C2"/>
    <w:rsid w:val="00F0479D"/>
    <w:rsid w:val="00F05AAC"/>
    <w:rsid w:val="00F064B3"/>
    <w:rsid w:val="00F07525"/>
    <w:rsid w:val="00F07F9E"/>
    <w:rsid w:val="00F120AE"/>
    <w:rsid w:val="00F12D02"/>
    <w:rsid w:val="00F130E3"/>
    <w:rsid w:val="00F13EEE"/>
    <w:rsid w:val="00F14C02"/>
    <w:rsid w:val="00F15239"/>
    <w:rsid w:val="00F156F2"/>
    <w:rsid w:val="00F202B9"/>
    <w:rsid w:val="00F208A7"/>
    <w:rsid w:val="00F22A6D"/>
    <w:rsid w:val="00F22AE9"/>
    <w:rsid w:val="00F22C69"/>
    <w:rsid w:val="00F23389"/>
    <w:rsid w:val="00F23A63"/>
    <w:rsid w:val="00F247E1"/>
    <w:rsid w:val="00F253F6"/>
    <w:rsid w:val="00F253FD"/>
    <w:rsid w:val="00F25DCF"/>
    <w:rsid w:val="00F25DF9"/>
    <w:rsid w:val="00F27AD7"/>
    <w:rsid w:val="00F310D5"/>
    <w:rsid w:val="00F31D1D"/>
    <w:rsid w:val="00F31F7C"/>
    <w:rsid w:val="00F3244A"/>
    <w:rsid w:val="00F327E2"/>
    <w:rsid w:val="00F32BB8"/>
    <w:rsid w:val="00F32EA5"/>
    <w:rsid w:val="00F338E7"/>
    <w:rsid w:val="00F34797"/>
    <w:rsid w:val="00F35116"/>
    <w:rsid w:val="00F3582E"/>
    <w:rsid w:val="00F37699"/>
    <w:rsid w:val="00F37928"/>
    <w:rsid w:val="00F40C3A"/>
    <w:rsid w:val="00F412BF"/>
    <w:rsid w:val="00F422F4"/>
    <w:rsid w:val="00F4380F"/>
    <w:rsid w:val="00F4388F"/>
    <w:rsid w:val="00F43B51"/>
    <w:rsid w:val="00F43E18"/>
    <w:rsid w:val="00F47751"/>
    <w:rsid w:val="00F5077B"/>
    <w:rsid w:val="00F53648"/>
    <w:rsid w:val="00F5491B"/>
    <w:rsid w:val="00F54A64"/>
    <w:rsid w:val="00F54EA2"/>
    <w:rsid w:val="00F5567F"/>
    <w:rsid w:val="00F56142"/>
    <w:rsid w:val="00F56DB1"/>
    <w:rsid w:val="00F57412"/>
    <w:rsid w:val="00F6051E"/>
    <w:rsid w:val="00F60AC3"/>
    <w:rsid w:val="00F60E85"/>
    <w:rsid w:val="00F6142D"/>
    <w:rsid w:val="00F6226B"/>
    <w:rsid w:val="00F62354"/>
    <w:rsid w:val="00F62963"/>
    <w:rsid w:val="00F62C06"/>
    <w:rsid w:val="00F62D8A"/>
    <w:rsid w:val="00F631A9"/>
    <w:rsid w:val="00F63779"/>
    <w:rsid w:val="00F63BDE"/>
    <w:rsid w:val="00F63EDE"/>
    <w:rsid w:val="00F64573"/>
    <w:rsid w:val="00F64F15"/>
    <w:rsid w:val="00F65727"/>
    <w:rsid w:val="00F663EF"/>
    <w:rsid w:val="00F6770E"/>
    <w:rsid w:val="00F70857"/>
    <w:rsid w:val="00F70B70"/>
    <w:rsid w:val="00F71010"/>
    <w:rsid w:val="00F71986"/>
    <w:rsid w:val="00F71EFB"/>
    <w:rsid w:val="00F720F6"/>
    <w:rsid w:val="00F731E1"/>
    <w:rsid w:val="00F732FE"/>
    <w:rsid w:val="00F73E54"/>
    <w:rsid w:val="00F76AC1"/>
    <w:rsid w:val="00F76E00"/>
    <w:rsid w:val="00F76FD2"/>
    <w:rsid w:val="00F77010"/>
    <w:rsid w:val="00F817DE"/>
    <w:rsid w:val="00F8194E"/>
    <w:rsid w:val="00F81FCD"/>
    <w:rsid w:val="00F820AB"/>
    <w:rsid w:val="00F8304F"/>
    <w:rsid w:val="00F830FE"/>
    <w:rsid w:val="00F8352A"/>
    <w:rsid w:val="00F83D70"/>
    <w:rsid w:val="00F85653"/>
    <w:rsid w:val="00F8577A"/>
    <w:rsid w:val="00F85AB4"/>
    <w:rsid w:val="00F86FA1"/>
    <w:rsid w:val="00F874DC"/>
    <w:rsid w:val="00F904B0"/>
    <w:rsid w:val="00F90577"/>
    <w:rsid w:val="00F91079"/>
    <w:rsid w:val="00F91775"/>
    <w:rsid w:val="00F917C9"/>
    <w:rsid w:val="00F91AA2"/>
    <w:rsid w:val="00F92C78"/>
    <w:rsid w:val="00F934C1"/>
    <w:rsid w:val="00F93F80"/>
    <w:rsid w:val="00F94694"/>
    <w:rsid w:val="00F94A6F"/>
    <w:rsid w:val="00F95226"/>
    <w:rsid w:val="00F96424"/>
    <w:rsid w:val="00F9796B"/>
    <w:rsid w:val="00F97F30"/>
    <w:rsid w:val="00FA03E0"/>
    <w:rsid w:val="00FA1F06"/>
    <w:rsid w:val="00FA23F7"/>
    <w:rsid w:val="00FA317D"/>
    <w:rsid w:val="00FA4E2D"/>
    <w:rsid w:val="00FA5CDA"/>
    <w:rsid w:val="00FA7701"/>
    <w:rsid w:val="00FB03A2"/>
    <w:rsid w:val="00FB04CD"/>
    <w:rsid w:val="00FB1776"/>
    <w:rsid w:val="00FB1943"/>
    <w:rsid w:val="00FB1C4E"/>
    <w:rsid w:val="00FB1E60"/>
    <w:rsid w:val="00FB2C5C"/>
    <w:rsid w:val="00FB3741"/>
    <w:rsid w:val="00FB39E8"/>
    <w:rsid w:val="00FB5833"/>
    <w:rsid w:val="00FB5B35"/>
    <w:rsid w:val="00FB67CC"/>
    <w:rsid w:val="00FB737F"/>
    <w:rsid w:val="00FC2A7D"/>
    <w:rsid w:val="00FC3E51"/>
    <w:rsid w:val="00FC48BB"/>
    <w:rsid w:val="00FC4D18"/>
    <w:rsid w:val="00FC574E"/>
    <w:rsid w:val="00FC58F5"/>
    <w:rsid w:val="00FC6AB4"/>
    <w:rsid w:val="00FC6B87"/>
    <w:rsid w:val="00FC6EA5"/>
    <w:rsid w:val="00FC7269"/>
    <w:rsid w:val="00FD0451"/>
    <w:rsid w:val="00FD0D1E"/>
    <w:rsid w:val="00FD15BA"/>
    <w:rsid w:val="00FD3BF4"/>
    <w:rsid w:val="00FD42F8"/>
    <w:rsid w:val="00FD47C0"/>
    <w:rsid w:val="00FD52EC"/>
    <w:rsid w:val="00FD53A0"/>
    <w:rsid w:val="00FD5A13"/>
    <w:rsid w:val="00FD7017"/>
    <w:rsid w:val="00FD782E"/>
    <w:rsid w:val="00FD7867"/>
    <w:rsid w:val="00FD7C91"/>
    <w:rsid w:val="00FE1756"/>
    <w:rsid w:val="00FE1BC4"/>
    <w:rsid w:val="00FE1E3F"/>
    <w:rsid w:val="00FE208A"/>
    <w:rsid w:val="00FE2D20"/>
    <w:rsid w:val="00FE3914"/>
    <w:rsid w:val="00FE4562"/>
    <w:rsid w:val="00FE50E9"/>
    <w:rsid w:val="00FE68A8"/>
    <w:rsid w:val="00FE6DDB"/>
    <w:rsid w:val="00FE7B68"/>
    <w:rsid w:val="00FE7F3F"/>
    <w:rsid w:val="00FF0090"/>
    <w:rsid w:val="00FF0857"/>
    <w:rsid w:val="00FF0A5B"/>
    <w:rsid w:val="00FF1535"/>
    <w:rsid w:val="00FF17D3"/>
    <w:rsid w:val="00FF20B4"/>
    <w:rsid w:val="00FF3207"/>
    <w:rsid w:val="00FF33F5"/>
    <w:rsid w:val="00FF3B65"/>
    <w:rsid w:val="00FF3D5D"/>
    <w:rsid w:val="00FF4176"/>
    <w:rsid w:val="00FF55E0"/>
    <w:rsid w:val="00FF6BD0"/>
    <w:rsid w:val="00FF706A"/>
    <w:rsid w:val="00FF7857"/>
    <w:rsid w:val="01062EEC"/>
    <w:rsid w:val="0130671A"/>
    <w:rsid w:val="015B6D94"/>
    <w:rsid w:val="01E13304"/>
    <w:rsid w:val="02205592"/>
    <w:rsid w:val="027A5F11"/>
    <w:rsid w:val="035E700F"/>
    <w:rsid w:val="04001E75"/>
    <w:rsid w:val="04114082"/>
    <w:rsid w:val="04E35A1E"/>
    <w:rsid w:val="04F01EE9"/>
    <w:rsid w:val="057905AA"/>
    <w:rsid w:val="058645FB"/>
    <w:rsid w:val="05927A85"/>
    <w:rsid w:val="059E1945"/>
    <w:rsid w:val="05D610DF"/>
    <w:rsid w:val="05E337FC"/>
    <w:rsid w:val="061B2F96"/>
    <w:rsid w:val="061F1754"/>
    <w:rsid w:val="06B520FC"/>
    <w:rsid w:val="06D05B2E"/>
    <w:rsid w:val="06FB71FF"/>
    <w:rsid w:val="06FD08ED"/>
    <w:rsid w:val="071C0D73"/>
    <w:rsid w:val="074F1149"/>
    <w:rsid w:val="075C73C2"/>
    <w:rsid w:val="07AF3996"/>
    <w:rsid w:val="07F67816"/>
    <w:rsid w:val="080173A6"/>
    <w:rsid w:val="080E6E74"/>
    <w:rsid w:val="086065C6"/>
    <w:rsid w:val="086F75C9"/>
    <w:rsid w:val="08E41E4D"/>
    <w:rsid w:val="08E7715F"/>
    <w:rsid w:val="09004CFA"/>
    <w:rsid w:val="09095327"/>
    <w:rsid w:val="092E2FE0"/>
    <w:rsid w:val="099F40E0"/>
    <w:rsid w:val="09CE2333"/>
    <w:rsid w:val="0A7315F2"/>
    <w:rsid w:val="0A830887"/>
    <w:rsid w:val="0A851326"/>
    <w:rsid w:val="0A8C6210"/>
    <w:rsid w:val="0C032502"/>
    <w:rsid w:val="0C0B585A"/>
    <w:rsid w:val="0C1A784C"/>
    <w:rsid w:val="0C656BA6"/>
    <w:rsid w:val="0C7E602C"/>
    <w:rsid w:val="0D0B5B12"/>
    <w:rsid w:val="0D474670"/>
    <w:rsid w:val="0D504342"/>
    <w:rsid w:val="0DA25D4B"/>
    <w:rsid w:val="0DE93979"/>
    <w:rsid w:val="0E372937"/>
    <w:rsid w:val="0EFE5203"/>
    <w:rsid w:val="0F0F35DF"/>
    <w:rsid w:val="0F2E5AE8"/>
    <w:rsid w:val="0FC41FA8"/>
    <w:rsid w:val="10B31405"/>
    <w:rsid w:val="1102722C"/>
    <w:rsid w:val="120155F4"/>
    <w:rsid w:val="12895D97"/>
    <w:rsid w:val="12EA7F78"/>
    <w:rsid w:val="12EC0194"/>
    <w:rsid w:val="13394A5B"/>
    <w:rsid w:val="13531FC1"/>
    <w:rsid w:val="137141F5"/>
    <w:rsid w:val="13AE71F7"/>
    <w:rsid w:val="13B66003"/>
    <w:rsid w:val="13FC17C7"/>
    <w:rsid w:val="145C4EA5"/>
    <w:rsid w:val="14EA425F"/>
    <w:rsid w:val="15115C90"/>
    <w:rsid w:val="15273705"/>
    <w:rsid w:val="152D239E"/>
    <w:rsid w:val="15DF5D8E"/>
    <w:rsid w:val="15F81F7A"/>
    <w:rsid w:val="164D0F49"/>
    <w:rsid w:val="168626AD"/>
    <w:rsid w:val="16DE1BA1"/>
    <w:rsid w:val="17051824"/>
    <w:rsid w:val="1735378C"/>
    <w:rsid w:val="176651A7"/>
    <w:rsid w:val="17FF44C5"/>
    <w:rsid w:val="183D4FEE"/>
    <w:rsid w:val="18475E6C"/>
    <w:rsid w:val="1849298F"/>
    <w:rsid w:val="18534811"/>
    <w:rsid w:val="189664AC"/>
    <w:rsid w:val="18CF3324"/>
    <w:rsid w:val="1943762A"/>
    <w:rsid w:val="19726F19"/>
    <w:rsid w:val="19B0741F"/>
    <w:rsid w:val="19C05F1F"/>
    <w:rsid w:val="1A3201B0"/>
    <w:rsid w:val="1A332204"/>
    <w:rsid w:val="1A3B730B"/>
    <w:rsid w:val="1A4A0FD5"/>
    <w:rsid w:val="1ADA4D76"/>
    <w:rsid w:val="1BF35F22"/>
    <w:rsid w:val="1C0320AA"/>
    <w:rsid w:val="1C0B16B8"/>
    <w:rsid w:val="1C695A5F"/>
    <w:rsid w:val="1C6F0819"/>
    <w:rsid w:val="1C6F2165"/>
    <w:rsid w:val="1D0B7468"/>
    <w:rsid w:val="1D187DD7"/>
    <w:rsid w:val="1D8C2D2E"/>
    <w:rsid w:val="1DAB29F9"/>
    <w:rsid w:val="1E48649A"/>
    <w:rsid w:val="1E6D581F"/>
    <w:rsid w:val="1E7E1EBC"/>
    <w:rsid w:val="1EB51D82"/>
    <w:rsid w:val="1EE43305"/>
    <w:rsid w:val="1EF34658"/>
    <w:rsid w:val="1EFF2867"/>
    <w:rsid w:val="1F372797"/>
    <w:rsid w:val="1F7F7596"/>
    <w:rsid w:val="1F994BCD"/>
    <w:rsid w:val="1FB458AE"/>
    <w:rsid w:val="1FCF0C21"/>
    <w:rsid w:val="1FDC6E9A"/>
    <w:rsid w:val="201133CD"/>
    <w:rsid w:val="202517C1"/>
    <w:rsid w:val="204E4DC7"/>
    <w:rsid w:val="208C6B12"/>
    <w:rsid w:val="20CF4C51"/>
    <w:rsid w:val="20EA0941"/>
    <w:rsid w:val="21050673"/>
    <w:rsid w:val="2136478C"/>
    <w:rsid w:val="213E20ED"/>
    <w:rsid w:val="214178FD"/>
    <w:rsid w:val="21C36564"/>
    <w:rsid w:val="22076CC3"/>
    <w:rsid w:val="22743D02"/>
    <w:rsid w:val="22BB723B"/>
    <w:rsid w:val="22DF561F"/>
    <w:rsid w:val="232E2103"/>
    <w:rsid w:val="23BA1BE8"/>
    <w:rsid w:val="23F46EA8"/>
    <w:rsid w:val="24174945"/>
    <w:rsid w:val="243948BB"/>
    <w:rsid w:val="24400E1F"/>
    <w:rsid w:val="24417468"/>
    <w:rsid w:val="24431BDE"/>
    <w:rsid w:val="247D51DF"/>
    <w:rsid w:val="248520D7"/>
    <w:rsid w:val="24A361D8"/>
    <w:rsid w:val="250129B8"/>
    <w:rsid w:val="254A0D4A"/>
    <w:rsid w:val="25A22934"/>
    <w:rsid w:val="25A30F5F"/>
    <w:rsid w:val="25BC39F6"/>
    <w:rsid w:val="25D80104"/>
    <w:rsid w:val="26AF355A"/>
    <w:rsid w:val="26ED5E31"/>
    <w:rsid w:val="27220C8C"/>
    <w:rsid w:val="27277595"/>
    <w:rsid w:val="277E22C7"/>
    <w:rsid w:val="27AB1F74"/>
    <w:rsid w:val="28414686"/>
    <w:rsid w:val="28B704A4"/>
    <w:rsid w:val="28C037FD"/>
    <w:rsid w:val="28F6721F"/>
    <w:rsid w:val="292875F4"/>
    <w:rsid w:val="29376D9D"/>
    <w:rsid w:val="29DC68E7"/>
    <w:rsid w:val="2A1077E8"/>
    <w:rsid w:val="2A153689"/>
    <w:rsid w:val="2A6649DB"/>
    <w:rsid w:val="2A7D6333"/>
    <w:rsid w:val="2A8B581A"/>
    <w:rsid w:val="2A994305"/>
    <w:rsid w:val="2ADC2444"/>
    <w:rsid w:val="2AE17A5A"/>
    <w:rsid w:val="2B5D3585"/>
    <w:rsid w:val="2B822FEC"/>
    <w:rsid w:val="2BEC15B4"/>
    <w:rsid w:val="2C300C99"/>
    <w:rsid w:val="2C685A2C"/>
    <w:rsid w:val="2C770676"/>
    <w:rsid w:val="2CE46631"/>
    <w:rsid w:val="2D3D4191"/>
    <w:rsid w:val="2D4A5D8B"/>
    <w:rsid w:val="2DD13DB6"/>
    <w:rsid w:val="2E006894"/>
    <w:rsid w:val="2E0155BC"/>
    <w:rsid w:val="2E715D3F"/>
    <w:rsid w:val="2EE636AB"/>
    <w:rsid w:val="2EE8585B"/>
    <w:rsid w:val="2EF3747F"/>
    <w:rsid w:val="2EFA6479"/>
    <w:rsid w:val="2F0401BB"/>
    <w:rsid w:val="2F0D52C2"/>
    <w:rsid w:val="2F4F293A"/>
    <w:rsid w:val="2F5D3515"/>
    <w:rsid w:val="2F9A4219"/>
    <w:rsid w:val="309F63EE"/>
    <w:rsid w:val="31796C3F"/>
    <w:rsid w:val="318D26EA"/>
    <w:rsid w:val="324D7F37"/>
    <w:rsid w:val="3264344B"/>
    <w:rsid w:val="32BF4784"/>
    <w:rsid w:val="32D63A96"/>
    <w:rsid w:val="32EB591A"/>
    <w:rsid w:val="333472C1"/>
    <w:rsid w:val="33962617"/>
    <w:rsid w:val="33DD753D"/>
    <w:rsid w:val="33E6570C"/>
    <w:rsid w:val="33F20F2A"/>
    <w:rsid w:val="34180991"/>
    <w:rsid w:val="345D2848"/>
    <w:rsid w:val="34913B3F"/>
    <w:rsid w:val="34E51E39"/>
    <w:rsid w:val="355655A8"/>
    <w:rsid w:val="356B689E"/>
    <w:rsid w:val="35B46497"/>
    <w:rsid w:val="35F13DBE"/>
    <w:rsid w:val="3619279E"/>
    <w:rsid w:val="363C764C"/>
    <w:rsid w:val="36413AA3"/>
    <w:rsid w:val="364C4922"/>
    <w:rsid w:val="36952324"/>
    <w:rsid w:val="36AA33F6"/>
    <w:rsid w:val="36C00A07"/>
    <w:rsid w:val="36E83F1F"/>
    <w:rsid w:val="371C0798"/>
    <w:rsid w:val="3795459A"/>
    <w:rsid w:val="38084878"/>
    <w:rsid w:val="38926838"/>
    <w:rsid w:val="38AE5DE6"/>
    <w:rsid w:val="38BE6393"/>
    <w:rsid w:val="393B2A2C"/>
    <w:rsid w:val="396B1563"/>
    <w:rsid w:val="39960375"/>
    <w:rsid w:val="39C42A21"/>
    <w:rsid w:val="39EA702F"/>
    <w:rsid w:val="39FD5F33"/>
    <w:rsid w:val="3A1A6AE5"/>
    <w:rsid w:val="3A2F6753"/>
    <w:rsid w:val="3A4761A9"/>
    <w:rsid w:val="3A667338"/>
    <w:rsid w:val="3A802DEC"/>
    <w:rsid w:val="3ABF1299"/>
    <w:rsid w:val="3AD969A0"/>
    <w:rsid w:val="3B0C28D2"/>
    <w:rsid w:val="3C0B2B89"/>
    <w:rsid w:val="3C502C92"/>
    <w:rsid w:val="3C6978B0"/>
    <w:rsid w:val="3CBE38E7"/>
    <w:rsid w:val="3D154364"/>
    <w:rsid w:val="3D6764E5"/>
    <w:rsid w:val="3DFB2016"/>
    <w:rsid w:val="3E3143FD"/>
    <w:rsid w:val="3EAD0CC4"/>
    <w:rsid w:val="3EC37C1A"/>
    <w:rsid w:val="3F150FF1"/>
    <w:rsid w:val="3F1B094C"/>
    <w:rsid w:val="3F3B0C9D"/>
    <w:rsid w:val="3F6902F3"/>
    <w:rsid w:val="3FB75744"/>
    <w:rsid w:val="3FE43E1D"/>
    <w:rsid w:val="3FF322B2"/>
    <w:rsid w:val="400132CD"/>
    <w:rsid w:val="40867FF9"/>
    <w:rsid w:val="40A37834"/>
    <w:rsid w:val="4116259D"/>
    <w:rsid w:val="41880229"/>
    <w:rsid w:val="41B63597"/>
    <w:rsid w:val="41D41C6F"/>
    <w:rsid w:val="420E62DF"/>
    <w:rsid w:val="4216720D"/>
    <w:rsid w:val="426D5B45"/>
    <w:rsid w:val="4298502E"/>
    <w:rsid w:val="432434DD"/>
    <w:rsid w:val="435C3CCA"/>
    <w:rsid w:val="43923B90"/>
    <w:rsid w:val="43BE6733"/>
    <w:rsid w:val="43DE2931"/>
    <w:rsid w:val="44364549"/>
    <w:rsid w:val="449B7DA7"/>
    <w:rsid w:val="458F65D9"/>
    <w:rsid w:val="45950D8E"/>
    <w:rsid w:val="45AC070B"/>
    <w:rsid w:val="46266E27"/>
    <w:rsid w:val="46476EB4"/>
    <w:rsid w:val="464B6F11"/>
    <w:rsid w:val="467D28D5"/>
    <w:rsid w:val="46E93B42"/>
    <w:rsid w:val="46EE3897"/>
    <w:rsid w:val="4766336A"/>
    <w:rsid w:val="477737C9"/>
    <w:rsid w:val="477C0DDF"/>
    <w:rsid w:val="478A34FC"/>
    <w:rsid w:val="480D7C89"/>
    <w:rsid w:val="48314AFC"/>
    <w:rsid w:val="487F2935"/>
    <w:rsid w:val="489D100D"/>
    <w:rsid w:val="48DE4230"/>
    <w:rsid w:val="48E924A4"/>
    <w:rsid w:val="48EC63E9"/>
    <w:rsid w:val="48FD7CFE"/>
    <w:rsid w:val="48FF75D2"/>
    <w:rsid w:val="490749D8"/>
    <w:rsid w:val="4941408E"/>
    <w:rsid w:val="49936C80"/>
    <w:rsid w:val="4A2D4613"/>
    <w:rsid w:val="4AD54A8E"/>
    <w:rsid w:val="4ADA02F6"/>
    <w:rsid w:val="4B054C48"/>
    <w:rsid w:val="4B1D4687"/>
    <w:rsid w:val="4B85599D"/>
    <w:rsid w:val="4B9A33EA"/>
    <w:rsid w:val="4BA601D9"/>
    <w:rsid w:val="4C1C66ED"/>
    <w:rsid w:val="4C1D758D"/>
    <w:rsid w:val="4C59349D"/>
    <w:rsid w:val="4D0B7DC9"/>
    <w:rsid w:val="4D1D02C0"/>
    <w:rsid w:val="4DD728CB"/>
    <w:rsid w:val="4DE1199C"/>
    <w:rsid w:val="4DF3347D"/>
    <w:rsid w:val="4E0D453F"/>
    <w:rsid w:val="4E920EE8"/>
    <w:rsid w:val="4EB43485"/>
    <w:rsid w:val="4EC90CCF"/>
    <w:rsid w:val="4F18319B"/>
    <w:rsid w:val="4F6E3703"/>
    <w:rsid w:val="4F9A62A6"/>
    <w:rsid w:val="4FA233AD"/>
    <w:rsid w:val="4FE915DD"/>
    <w:rsid w:val="5087673B"/>
    <w:rsid w:val="50B909AE"/>
    <w:rsid w:val="51424ECF"/>
    <w:rsid w:val="514F30C0"/>
    <w:rsid w:val="51550EA9"/>
    <w:rsid w:val="517174DB"/>
    <w:rsid w:val="519A542A"/>
    <w:rsid w:val="51F130C4"/>
    <w:rsid w:val="52216D0A"/>
    <w:rsid w:val="524339DF"/>
    <w:rsid w:val="5246001F"/>
    <w:rsid w:val="52911BE2"/>
    <w:rsid w:val="52D64544"/>
    <w:rsid w:val="52E2243E"/>
    <w:rsid w:val="53784B50"/>
    <w:rsid w:val="53FC12DE"/>
    <w:rsid w:val="54460E76"/>
    <w:rsid w:val="549C7A4F"/>
    <w:rsid w:val="54CF254E"/>
    <w:rsid w:val="564231F4"/>
    <w:rsid w:val="565B1858"/>
    <w:rsid w:val="566B44F9"/>
    <w:rsid w:val="566D2712"/>
    <w:rsid w:val="569357FD"/>
    <w:rsid w:val="5697709C"/>
    <w:rsid w:val="56BA722E"/>
    <w:rsid w:val="56D77DE0"/>
    <w:rsid w:val="56FB3C51"/>
    <w:rsid w:val="571701DC"/>
    <w:rsid w:val="571C5DB6"/>
    <w:rsid w:val="57233722"/>
    <w:rsid w:val="57511940"/>
    <w:rsid w:val="57752D91"/>
    <w:rsid w:val="57947A7F"/>
    <w:rsid w:val="57B63E99"/>
    <w:rsid w:val="57D165DD"/>
    <w:rsid w:val="5862192B"/>
    <w:rsid w:val="586D2BCD"/>
    <w:rsid w:val="58931AE5"/>
    <w:rsid w:val="58C6010C"/>
    <w:rsid w:val="58D54547"/>
    <w:rsid w:val="58EB7B73"/>
    <w:rsid w:val="5903702C"/>
    <w:rsid w:val="59213594"/>
    <w:rsid w:val="59524AAC"/>
    <w:rsid w:val="5A160809"/>
    <w:rsid w:val="5A6574B1"/>
    <w:rsid w:val="5A954045"/>
    <w:rsid w:val="5AD635B6"/>
    <w:rsid w:val="5B0171D9"/>
    <w:rsid w:val="5B5C6B06"/>
    <w:rsid w:val="5BD7550B"/>
    <w:rsid w:val="5C00196F"/>
    <w:rsid w:val="5C1E200D"/>
    <w:rsid w:val="5CB14C2F"/>
    <w:rsid w:val="5CD32DF8"/>
    <w:rsid w:val="5CE24DE9"/>
    <w:rsid w:val="5D212A33"/>
    <w:rsid w:val="5D293CAC"/>
    <w:rsid w:val="5D3A4C25"/>
    <w:rsid w:val="5D814602"/>
    <w:rsid w:val="5DDF4685"/>
    <w:rsid w:val="5E190CDE"/>
    <w:rsid w:val="5E7C0B9A"/>
    <w:rsid w:val="5EC0115A"/>
    <w:rsid w:val="5EF7101F"/>
    <w:rsid w:val="5F123B92"/>
    <w:rsid w:val="5FC51DA0"/>
    <w:rsid w:val="5FFE462F"/>
    <w:rsid w:val="60114363"/>
    <w:rsid w:val="601E5B02"/>
    <w:rsid w:val="60A800F7"/>
    <w:rsid w:val="6129748A"/>
    <w:rsid w:val="615C160D"/>
    <w:rsid w:val="617F70AA"/>
    <w:rsid w:val="619C62FD"/>
    <w:rsid w:val="61C62F2B"/>
    <w:rsid w:val="61CD42B9"/>
    <w:rsid w:val="61E31719"/>
    <w:rsid w:val="626369CC"/>
    <w:rsid w:val="62F7618C"/>
    <w:rsid w:val="6315416A"/>
    <w:rsid w:val="63181564"/>
    <w:rsid w:val="63404AD4"/>
    <w:rsid w:val="63423AA7"/>
    <w:rsid w:val="6397692D"/>
    <w:rsid w:val="639C03E7"/>
    <w:rsid w:val="63F72FB1"/>
    <w:rsid w:val="642D4CDF"/>
    <w:rsid w:val="643735C6"/>
    <w:rsid w:val="646B6192"/>
    <w:rsid w:val="648275DD"/>
    <w:rsid w:val="64AA756E"/>
    <w:rsid w:val="65222959"/>
    <w:rsid w:val="654D4DCE"/>
    <w:rsid w:val="656D3B1C"/>
    <w:rsid w:val="65984BDE"/>
    <w:rsid w:val="659A6BA8"/>
    <w:rsid w:val="65E41D28"/>
    <w:rsid w:val="662746C4"/>
    <w:rsid w:val="662B15AE"/>
    <w:rsid w:val="662E58B4"/>
    <w:rsid w:val="664F04C0"/>
    <w:rsid w:val="669B2BD8"/>
    <w:rsid w:val="66C20165"/>
    <w:rsid w:val="66F6168A"/>
    <w:rsid w:val="67CE2B39"/>
    <w:rsid w:val="67F26828"/>
    <w:rsid w:val="68BE5B6E"/>
    <w:rsid w:val="690802CD"/>
    <w:rsid w:val="691F2EAE"/>
    <w:rsid w:val="6938501C"/>
    <w:rsid w:val="69533CDF"/>
    <w:rsid w:val="69586B5E"/>
    <w:rsid w:val="69E118BB"/>
    <w:rsid w:val="6A5D1F52"/>
    <w:rsid w:val="6AC36259"/>
    <w:rsid w:val="6AC63F9C"/>
    <w:rsid w:val="6ADC731B"/>
    <w:rsid w:val="6AED1417"/>
    <w:rsid w:val="6B4849B1"/>
    <w:rsid w:val="6B5A15D3"/>
    <w:rsid w:val="6BAC4F3F"/>
    <w:rsid w:val="6BCC7390"/>
    <w:rsid w:val="6BD149A6"/>
    <w:rsid w:val="6BE6112E"/>
    <w:rsid w:val="6BFD579B"/>
    <w:rsid w:val="6C2B67AC"/>
    <w:rsid w:val="6C6E05D8"/>
    <w:rsid w:val="6C7F1A0C"/>
    <w:rsid w:val="6CD26C28"/>
    <w:rsid w:val="6CF05300"/>
    <w:rsid w:val="6D266F73"/>
    <w:rsid w:val="6D514CF9"/>
    <w:rsid w:val="6D6B4986"/>
    <w:rsid w:val="6D712169"/>
    <w:rsid w:val="6D8E73E9"/>
    <w:rsid w:val="6DA22A9E"/>
    <w:rsid w:val="6DC9002B"/>
    <w:rsid w:val="6E0252EB"/>
    <w:rsid w:val="6E054DDB"/>
    <w:rsid w:val="6E105C5A"/>
    <w:rsid w:val="6E357C67"/>
    <w:rsid w:val="6E7354E8"/>
    <w:rsid w:val="6E737F96"/>
    <w:rsid w:val="6E781A51"/>
    <w:rsid w:val="6ECB3F95"/>
    <w:rsid w:val="6EE82732"/>
    <w:rsid w:val="6F432C73"/>
    <w:rsid w:val="6F5A1E1A"/>
    <w:rsid w:val="6F5B73A8"/>
    <w:rsid w:val="6F766DA4"/>
    <w:rsid w:val="6F784FE7"/>
    <w:rsid w:val="6FE0508F"/>
    <w:rsid w:val="6FFC14D4"/>
    <w:rsid w:val="70484BCD"/>
    <w:rsid w:val="706F0D4A"/>
    <w:rsid w:val="70F30C6F"/>
    <w:rsid w:val="71A16BC9"/>
    <w:rsid w:val="71E73175"/>
    <w:rsid w:val="71F933E2"/>
    <w:rsid w:val="721E46BD"/>
    <w:rsid w:val="722C0B88"/>
    <w:rsid w:val="72516841"/>
    <w:rsid w:val="72582739"/>
    <w:rsid w:val="725B4129"/>
    <w:rsid w:val="726803FE"/>
    <w:rsid w:val="735C1883"/>
    <w:rsid w:val="736425A4"/>
    <w:rsid w:val="74130252"/>
    <w:rsid w:val="741753C6"/>
    <w:rsid w:val="74204186"/>
    <w:rsid w:val="747770E1"/>
    <w:rsid w:val="748D5C7C"/>
    <w:rsid w:val="74B65081"/>
    <w:rsid w:val="74FA551C"/>
    <w:rsid w:val="75313A7B"/>
    <w:rsid w:val="75457105"/>
    <w:rsid w:val="75F23E97"/>
    <w:rsid w:val="76A333E3"/>
    <w:rsid w:val="77F008AA"/>
    <w:rsid w:val="782E3E11"/>
    <w:rsid w:val="78342545"/>
    <w:rsid w:val="790B0281"/>
    <w:rsid w:val="795F4A3B"/>
    <w:rsid w:val="797057FE"/>
    <w:rsid w:val="79993AD1"/>
    <w:rsid w:val="79EA1A55"/>
    <w:rsid w:val="7A04260F"/>
    <w:rsid w:val="7A140880"/>
    <w:rsid w:val="7A3D241A"/>
    <w:rsid w:val="7A4D3D91"/>
    <w:rsid w:val="7A5B64AE"/>
    <w:rsid w:val="7AB41C26"/>
    <w:rsid w:val="7AB73CF1"/>
    <w:rsid w:val="7AD16771"/>
    <w:rsid w:val="7AF9423B"/>
    <w:rsid w:val="7B6969A9"/>
    <w:rsid w:val="7C99467F"/>
    <w:rsid w:val="7D1B1F25"/>
    <w:rsid w:val="7D742770"/>
    <w:rsid w:val="7D983576"/>
    <w:rsid w:val="7D9E12AA"/>
    <w:rsid w:val="7F211349"/>
    <w:rsid w:val="7F307165"/>
    <w:rsid w:val="7F853FCE"/>
    <w:rsid w:val="7FC06DB4"/>
    <w:rsid w:val="7FF52F01"/>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0"/>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1"/>
    <w:autoRedefine/>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72"/>
    <w:autoRedefine/>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73"/>
    <w:autoRedefine/>
    <w:qFormat/>
    <w:uiPriority w:val="0"/>
    <w:pPr>
      <w:keepNext/>
      <w:jc w:val="center"/>
      <w:outlineLvl w:val="3"/>
    </w:pPr>
    <w:rPr>
      <w:rFonts w:eastAsia="新宋体"/>
      <w:kern w:val="0"/>
      <w:sz w:val="30"/>
      <w:szCs w:val="21"/>
    </w:rPr>
  </w:style>
  <w:style w:type="paragraph" w:styleId="7">
    <w:name w:val="heading 5"/>
    <w:basedOn w:val="1"/>
    <w:next w:val="1"/>
    <w:link w:val="74"/>
    <w:autoRedefine/>
    <w:qFormat/>
    <w:uiPriority w:val="9"/>
    <w:pPr>
      <w:keepNext/>
      <w:keepLines/>
      <w:spacing w:before="280" w:after="290" w:line="376" w:lineRule="auto"/>
      <w:outlineLvl w:val="4"/>
    </w:pPr>
    <w:rPr>
      <w:b/>
      <w:bCs/>
      <w:kern w:val="0"/>
      <w:sz w:val="28"/>
      <w:szCs w:val="28"/>
    </w:rPr>
  </w:style>
  <w:style w:type="paragraph" w:styleId="8">
    <w:name w:val="heading 6"/>
    <w:basedOn w:val="1"/>
    <w:next w:val="9"/>
    <w:link w:val="75"/>
    <w:autoRedefine/>
    <w:qFormat/>
    <w:uiPriority w:val="9"/>
    <w:pPr>
      <w:keepNext/>
      <w:jc w:val="center"/>
      <w:outlineLvl w:val="5"/>
    </w:pPr>
    <w:rPr>
      <w:b/>
      <w:kern w:val="0"/>
      <w:sz w:val="44"/>
      <w:szCs w:val="20"/>
    </w:rPr>
  </w:style>
  <w:style w:type="paragraph" w:styleId="10">
    <w:name w:val="heading 7"/>
    <w:basedOn w:val="1"/>
    <w:next w:val="1"/>
    <w:link w:val="77"/>
    <w:autoRedefine/>
    <w:qFormat/>
    <w:uiPriority w:val="9"/>
    <w:pPr>
      <w:keepNext/>
      <w:keepLines/>
      <w:spacing w:before="240" w:after="64" w:line="320" w:lineRule="auto"/>
      <w:outlineLvl w:val="6"/>
    </w:pPr>
    <w:rPr>
      <w:b/>
      <w:bCs/>
      <w:kern w:val="0"/>
      <w:sz w:val="24"/>
    </w:rPr>
  </w:style>
  <w:style w:type="paragraph" w:styleId="11">
    <w:name w:val="heading 8"/>
    <w:basedOn w:val="1"/>
    <w:next w:val="1"/>
    <w:link w:val="78"/>
    <w:autoRedefine/>
    <w:qFormat/>
    <w:uiPriority w:val="9"/>
    <w:pPr>
      <w:keepNext/>
      <w:keepLines/>
      <w:spacing w:before="240" w:after="64" w:line="320" w:lineRule="auto"/>
      <w:outlineLvl w:val="7"/>
    </w:pPr>
    <w:rPr>
      <w:rFonts w:ascii="Arial" w:hAnsi="Arial" w:eastAsia="黑体"/>
      <w:kern w:val="0"/>
      <w:sz w:val="24"/>
    </w:rPr>
  </w:style>
  <w:style w:type="paragraph" w:styleId="12">
    <w:name w:val="heading 9"/>
    <w:basedOn w:val="1"/>
    <w:next w:val="1"/>
    <w:link w:val="79"/>
    <w:autoRedefine/>
    <w:qFormat/>
    <w:uiPriority w:val="0"/>
    <w:pPr>
      <w:keepNext/>
      <w:keepLines/>
      <w:spacing w:before="240" w:after="64" w:line="320" w:lineRule="auto"/>
      <w:outlineLvl w:val="8"/>
    </w:pPr>
    <w:rPr>
      <w:rFonts w:ascii="Arial" w:hAnsi="Arial" w:eastAsia="黑体"/>
      <w:kern w:val="0"/>
      <w:sz w:val="24"/>
      <w:szCs w:val="21"/>
    </w:rPr>
  </w:style>
  <w:style w:type="character" w:default="1" w:styleId="53">
    <w:name w:val="Default Paragraph Font"/>
    <w:semiHidden/>
    <w:unhideWhenUsed/>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1"/>
    <w:basedOn w:val="1"/>
    <w:autoRedefine/>
    <w:qFormat/>
    <w:uiPriority w:val="99"/>
    <w:pPr>
      <w:spacing w:line="360" w:lineRule="auto"/>
      <w:ind w:firstLine="200"/>
    </w:pPr>
    <w:rPr>
      <w:rFonts w:ascii="仿宋_GB2312" w:eastAsia="仿宋_GB2312"/>
      <w:sz w:val="30"/>
      <w:szCs w:val="30"/>
    </w:rPr>
  </w:style>
  <w:style w:type="paragraph" w:styleId="9">
    <w:name w:val="Normal Indent"/>
    <w:basedOn w:val="1"/>
    <w:link w:val="76"/>
    <w:autoRedefine/>
    <w:qFormat/>
    <w:uiPriority w:val="0"/>
    <w:pPr>
      <w:ind w:firstLine="420"/>
    </w:pPr>
    <w:rPr>
      <w:kern w:val="0"/>
      <w:sz w:val="20"/>
      <w:szCs w:val="20"/>
    </w:rPr>
  </w:style>
  <w:style w:type="paragraph" w:styleId="13">
    <w:name w:val="List 3"/>
    <w:basedOn w:val="1"/>
    <w:autoRedefine/>
    <w:qFormat/>
    <w:uiPriority w:val="0"/>
    <w:pPr>
      <w:ind w:left="100" w:leftChars="400" w:hanging="200" w:hangingChars="200"/>
    </w:pPr>
    <w:rPr>
      <w:szCs w:val="21"/>
    </w:rPr>
  </w:style>
  <w:style w:type="paragraph" w:styleId="14">
    <w:name w:val="toc 7"/>
    <w:basedOn w:val="1"/>
    <w:next w:val="1"/>
    <w:autoRedefine/>
    <w:qFormat/>
    <w:uiPriority w:val="0"/>
    <w:pPr>
      <w:ind w:left="1260"/>
      <w:jc w:val="left"/>
    </w:pPr>
    <w:rPr>
      <w:szCs w:val="21"/>
    </w:rPr>
  </w:style>
  <w:style w:type="paragraph" w:styleId="15">
    <w:name w:val="caption"/>
    <w:basedOn w:val="1"/>
    <w:next w:val="1"/>
    <w:autoRedefine/>
    <w:qFormat/>
    <w:uiPriority w:val="0"/>
    <w:rPr>
      <w:rFonts w:ascii="Cambria" w:hAnsi="Cambria" w:eastAsia="黑体"/>
      <w:sz w:val="20"/>
      <w:szCs w:val="20"/>
    </w:rPr>
  </w:style>
  <w:style w:type="paragraph" w:styleId="16">
    <w:name w:val="Document Map"/>
    <w:basedOn w:val="1"/>
    <w:link w:val="80"/>
    <w:autoRedefine/>
    <w:qFormat/>
    <w:uiPriority w:val="0"/>
    <w:pPr>
      <w:shd w:val="clear" w:color="auto" w:fill="000080"/>
    </w:pPr>
    <w:rPr>
      <w:kern w:val="0"/>
      <w:sz w:val="20"/>
    </w:rPr>
  </w:style>
  <w:style w:type="paragraph" w:styleId="17">
    <w:name w:val="annotation text"/>
    <w:basedOn w:val="1"/>
    <w:link w:val="81"/>
    <w:autoRedefine/>
    <w:unhideWhenUsed/>
    <w:qFormat/>
    <w:uiPriority w:val="99"/>
    <w:pPr>
      <w:jc w:val="left"/>
    </w:pPr>
  </w:style>
  <w:style w:type="paragraph" w:styleId="18">
    <w:name w:val="Body Text 3"/>
    <w:basedOn w:val="1"/>
    <w:link w:val="82"/>
    <w:autoRedefine/>
    <w:qFormat/>
    <w:uiPriority w:val="0"/>
    <w:pPr>
      <w:spacing w:after="120"/>
    </w:pPr>
    <w:rPr>
      <w:kern w:val="0"/>
      <w:sz w:val="16"/>
      <w:szCs w:val="16"/>
    </w:rPr>
  </w:style>
  <w:style w:type="paragraph" w:styleId="19">
    <w:name w:val="Body Text"/>
    <w:basedOn w:val="1"/>
    <w:next w:val="1"/>
    <w:link w:val="69"/>
    <w:autoRedefine/>
    <w:qFormat/>
    <w:uiPriority w:val="99"/>
    <w:rPr>
      <w:rFonts w:ascii="仿宋_GB2312" w:eastAsia="仿宋_GB2312"/>
      <w:kern w:val="0"/>
      <w:sz w:val="24"/>
      <w:szCs w:val="20"/>
    </w:rPr>
  </w:style>
  <w:style w:type="paragraph" w:styleId="20">
    <w:name w:val="Body Text Indent"/>
    <w:basedOn w:val="1"/>
    <w:next w:val="21"/>
    <w:link w:val="83"/>
    <w:autoRedefine/>
    <w:qFormat/>
    <w:uiPriority w:val="0"/>
    <w:pPr>
      <w:ind w:left="765"/>
    </w:pPr>
    <w:rPr>
      <w:rFonts w:ascii="仿宋_GB2312" w:eastAsia="仿宋_GB2312"/>
      <w:kern w:val="0"/>
      <w:sz w:val="28"/>
      <w:szCs w:val="20"/>
    </w:rPr>
  </w:style>
  <w:style w:type="paragraph" w:styleId="21">
    <w:name w:val="envelope return"/>
    <w:basedOn w:val="1"/>
    <w:autoRedefine/>
    <w:qFormat/>
    <w:uiPriority w:val="99"/>
    <w:pPr>
      <w:snapToGrid w:val="0"/>
      <w:spacing w:line="360" w:lineRule="auto"/>
      <w:ind w:firstLine="200" w:firstLineChars="200"/>
    </w:pPr>
    <w:rPr>
      <w:rFonts w:ascii="Arial" w:hAnsi="Arial" w:eastAsia="仿宋_GB2312" w:cs="Arial"/>
      <w:sz w:val="24"/>
    </w:rPr>
  </w:style>
  <w:style w:type="paragraph" w:styleId="22">
    <w:name w:val="List 2"/>
    <w:basedOn w:val="1"/>
    <w:autoRedefine/>
    <w:qFormat/>
    <w:uiPriority w:val="0"/>
    <w:pPr>
      <w:ind w:left="100" w:leftChars="200" w:hanging="200" w:hangingChars="200"/>
    </w:pPr>
    <w:rPr>
      <w:szCs w:val="21"/>
    </w:rPr>
  </w:style>
  <w:style w:type="paragraph" w:styleId="23">
    <w:name w:val="List Bullet 2"/>
    <w:basedOn w:val="1"/>
    <w:autoRedefine/>
    <w:qFormat/>
    <w:uiPriority w:val="0"/>
    <w:pPr>
      <w:widowControl/>
      <w:tabs>
        <w:tab w:val="left" w:pos="432"/>
        <w:tab w:val="left" w:pos="840"/>
        <w:tab w:val="left" w:pos="1620"/>
      </w:tabs>
      <w:adjustRightInd w:val="0"/>
      <w:snapToGrid w:val="0"/>
      <w:spacing w:before="120" w:line="360" w:lineRule="auto"/>
      <w:ind w:left="1620" w:hanging="1620"/>
      <w:jc w:val="left"/>
    </w:pPr>
    <w:rPr>
      <w:rFonts w:ascii="宋体" w:hAnsi="宋体"/>
      <w:spacing w:val="-5"/>
      <w:kern w:val="0"/>
      <w:szCs w:val="20"/>
    </w:rPr>
  </w:style>
  <w:style w:type="paragraph" w:styleId="24">
    <w:name w:val="toc 5"/>
    <w:basedOn w:val="1"/>
    <w:next w:val="1"/>
    <w:autoRedefine/>
    <w:qFormat/>
    <w:uiPriority w:val="39"/>
    <w:pPr>
      <w:ind w:left="840"/>
      <w:jc w:val="left"/>
    </w:pPr>
    <w:rPr>
      <w:szCs w:val="21"/>
    </w:rPr>
  </w:style>
  <w:style w:type="paragraph" w:styleId="25">
    <w:name w:val="toc 3"/>
    <w:basedOn w:val="1"/>
    <w:next w:val="1"/>
    <w:autoRedefine/>
    <w:qFormat/>
    <w:uiPriority w:val="39"/>
    <w:pPr>
      <w:ind w:left="420"/>
      <w:jc w:val="left"/>
    </w:pPr>
    <w:rPr>
      <w:i/>
      <w:iCs/>
    </w:rPr>
  </w:style>
  <w:style w:type="paragraph" w:styleId="26">
    <w:name w:val="Plain Text"/>
    <w:basedOn w:val="1"/>
    <w:link w:val="84"/>
    <w:autoRedefine/>
    <w:qFormat/>
    <w:uiPriority w:val="0"/>
    <w:rPr>
      <w:rFonts w:ascii="宋体" w:hAnsi="Courier New"/>
      <w:kern w:val="0"/>
      <w:sz w:val="20"/>
      <w:szCs w:val="21"/>
    </w:rPr>
  </w:style>
  <w:style w:type="paragraph" w:styleId="27">
    <w:name w:val="toc 8"/>
    <w:basedOn w:val="1"/>
    <w:next w:val="1"/>
    <w:autoRedefine/>
    <w:qFormat/>
    <w:uiPriority w:val="0"/>
    <w:pPr>
      <w:ind w:left="1470"/>
      <w:jc w:val="left"/>
    </w:pPr>
    <w:rPr>
      <w:szCs w:val="21"/>
    </w:rPr>
  </w:style>
  <w:style w:type="paragraph" w:styleId="28">
    <w:name w:val="Date"/>
    <w:basedOn w:val="1"/>
    <w:next w:val="1"/>
    <w:link w:val="85"/>
    <w:autoRedefine/>
    <w:qFormat/>
    <w:uiPriority w:val="0"/>
    <w:rPr>
      <w:kern w:val="0"/>
      <w:sz w:val="24"/>
      <w:szCs w:val="20"/>
    </w:rPr>
  </w:style>
  <w:style w:type="paragraph" w:styleId="29">
    <w:name w:val="Body Text Indent 2"/>
    <w:basedOn w:val="1"/>
    <w:link w:val="86"/>
    <w:autoRedefine/>
    <w:qFormat/>
    <w:uiPriority w:val="0"/>
    <w:pPr>
      <w:spacing w:line="500" w:lineRule="exact"/>
      <w:ind w:firstLine="560" w:firstLineChars="200"/>
    </w:pPr>
    <w:rPr>
      <w:rFonts w:eastAsia="仿宋_GB2312"/>
      <w:kern w:val="0"/>
      <w:sz w:val="28"/>
      <w:szCs w:val="20"/>
    </w:rPr>
  </w:style>
  <w:style w:type="paragraph" w:styleId="30">
    <w:name w:val="Balloon Text"/>
    <w:basedOn w:val="1"/>
    <w:link w:val="87"/>
    <w:autoRedefine/>
    <w:qFormat/>
    <w:uiPriority w:val="0"/>
    <w:rPr>
      <w:kern w:val="0"/>
      <w:sz w:val="18"/>
      <w:szCs w:val="18"/>
    </w:rPr>
  </w:style>
  <w:style w:type="paragraph" w:styleId="31">
    <w:name w:val="footer"/>
    <w:basedOn w:val="1"/>
    <w:link w:val="88"/>
    <w:autoRedefine/>
    <w:qFormat/>
    <w:uiPriority w:val="99"/>
    <w:pPr>
      <w:tabs>
        <w:tab w:val="center" w:pos="4153"/>
        <w:tab w:val="right" w:pos="8306"/>
      </w:tabs>
      <w:snapToGrid w:val="0"/>
      <w:jc w:val="left"/>
    </w:pPr>
    <w:rPr>
      <w:kern w:val="0"/>
      <w:sz w:val="18"/>
      <w:szCs w:val="20"/>
    </w:rPr>
  </w:style>
  <w:style w:type="paragraph" w:styleId="32">
    <w:name w:val="header"/>
    <w:basedOn w:val="1"/>
    <w:link w:val="89"/>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autoRedefine/>
    <w:qFormat/>
    <w:uiPriority w:val="39"/>
    <w:rPr>
      <w:sz w:val="24"/>
    </w:rPr>
  </w:style>
  <w:style w:type="paragraph" w:styleId="34">
    <w:name w:val="toc 4"/>
    <w:basedOn w:val="1"/>
    <w:next w:val="1"/>
    <w:link w:val="90"/>
    <w:autoRedefine/>
    <w:qFormat/>
    <w:uiPriority w:val="39"/>
    <w:pPr>
      <w:ind w:left="630"/>
      <w:jc w:val="left"/>
    </w:pPr>
    <w:rPr>
      <w:szCs w:val="21"/>
    </w:rPr>
  </w:style>
  <w:style w:type="paragraph" w:styleId="35">
    <w:name w:val="Subtitle"/>
    <w:basedOn w:val="1"/>
    <w:next w:val="1"/>
    <w:link w:val="91"/>
    <w:autoRedefine/>
    <w:qFormat/>
    <w:uiPriority w:val="0"/>
    <w:pPr>
      <w:spacing w:before="240" w:after="60" w:line="312" w:lineRule="auto"/>
      <w:jc w:val="center"/>
      <w:outlineLvl w:val="1"/>
    </w:pPr>
    <w:rPr>
      <w:rFonts w:ascii="Cambria" w:hAnsi="Cambria"/>
      <w:b/>
      <w:bCs/>
      <w:kern w:val="28"/>
      <w:sz w:val="32"/>
      <w:szCs w:val="32"/>
    </w:rPr>
  </w:style>
  <w:style w:type="paragraph" w:styleId="36">
    <w:name w:val="List"/>
    <w:basedOn w:val="1"/>
    <w:autoRedefine/>
    <w:qFormat/>
    <w:uiPriority w:val="0"/>
    <w:pPr>
      <w:ind w:left="200" w:hanging="200" w:hangingChars="200"/>
    </w:pPr>
  </w:style>
  <w:style w:type="paragraph" w:styleId="37">
    <w:name w:val="footnote text"/>
    <w:basedOn w:val="1"/>
    <w:link w:val="92"/>
    <w:autoRedefine/>
    <w:qFormat/>
    <w:uiPriority w:val="0"/>
    <w:rPr>
      <w:sz w:val="20"/>
      <w:szCs w:val="20"/>
    </w:rPr>
  </w:style>
  <w:style w:type="paragraph" w:styleId="38">
    <w:name w:val="toc 6"/>
    <w:basedOn w:val="1"/>
    <w:next w:val="1"/>
    <w:autoRedefine/>
    <w:qFormat/>
    <w:uiPriority w:val="0"/>
    <w:pPr>
      <w:ind w:left="1050"/>
      <w:jc w:val="left"/>
    </w:pPr>
    <w:rPr>
      <w:szCs w:val="21"/>
    </w:rPr>
  </w:style>
  <w:style w:type="paragraph" w:styleId="39">
    <w:name w:val="Body Text Indent 3"/>
    <w:basedOn w:val="1"/>
    <w:link w:val="93"/>
    <w:autoRedefine/>
    <w:qFormat/>
    <w:uiPriority w:val="0"/>
    <w:pPr>
      <w:spacing w:after="120"/>
      <w:ind w:left="420" w:leftChars="200"/>
    </w:pPr>
    <w:rPr>
      <w:kern w:val="0"/>
      <w:sz w:val="16"/>
      <w:szCs w:val="16"/>
    </w:rPr>
  </w:style>
  <w:style w:type="paragraph" w:styleId="40">
    <w:name w:val="table of figures"/>
    <w:basedOn w:val="1"/>
    <w:next w:val="1"/>
    <w:autoRedefine/>
    <w:qFormat/>
    <w:uiPriority w:val="0"/>
    <w:pPr>
      <w:ind w:left="840" w:hanging="420"/>
    </w:pPr>
    <w:rPr>
      <w:szCs w:val="21"/>
    </w:rPr>
  </w:style>
  <w:style w:type="paragraph" w:styleId="41">
    <w:name w:val="toc 2"/>
    <w:basedOn w:val="1"/>
    <w:next w:val="1"/>
    <w:autoRedefine/>
    <w:qFormat/>
    <w:uiPriority w:val="39"/>
    <w:pPr>
      <w:ind w:left="210"/>
      <w:jc w:val="left"/>
    </w:pPr>
    <w:rPr>
      <w:smallCaps/>
    </w:rPr>
  </w:style>
  <w:style w:type="paragraph" w:styleId="42">
    <w:name w:val="toc 9"/>
    <w:basedOn w:val="1"/>
    <w:next w:val="1"/>
    <w:autoRedefine/>
    <w:qFormat/>
    <w:uiPriority w:val="0"/>
    <w:pPr>
      <w:ind w:left="1680"/>
      <w:jc w:val="left"/>
    </w:pPr>
    <w:rPr>
      <w:szCs w:val="21"/>
    </w:rPr>
  </w:style>
  <w:style w:type="paragraph" w:styleId="43">
    <w:name w:val="Body Text 2"/>
    <w:basedOn w:val="1"/>
    <w:link w:val="94"/>
    <w:autoRedefine/>
    <w:qFormat/>
    <w:uiPriority w:val="0"/>
    <w:pPr>
      <w:snapToGrid w:val="0"/>
    </w:pPr>
    <w:rPr>
      <w:b/>
      <w:bCs/>
      <w:kern w:val="0"/>
      <w:sz w:val="18"/>
    </w:rPr>
  </w:style>
  <w:style w:type="paragraph" w:styleId="44">
    <w:name w:val="List Continue 2"/>
    <w:basedOn w:val="1"/>
    <w:autoRedefine/>
    <w:qFormat/>
    <w:uiPriority w:val="0"/>
    <w:pPr>
      <w:spacing w:after="120"/>
      <w:ind w:left="840"/>
    </w:pPr>
  </w:style>
  <w:style w:type="paragraph" w:styleId="45">
    <w:name w:val="Normal (Web)"/>
    <w:basedOn w:val="1"/>
    <w:autoRedefine/>
    <w:qFormat/>
    <w:uiPriority w:val="0"/>
    <w:pPr>
      <w:widowControl/>
      <w:spacing w:before="100" w:beforeAutospacing="1" w:after="100" w:afterAutospacing="1"/>
      <w:jc w:val="left"/>
    </w:pPr>
    <w:rPr>
      <w:rFonts w:ascii="宋体" w:hAnsi="宋体"/>
      <w:color w:val="000000"/>
      <w:kern w:val="0"/>
      <w:sz w:val="24"/>
    </w:rPr>
  </w:style>
  <w:style w:type="paragraph" w:styleId="46">
    <w:name w:val="index 1"/>
    <w:basedOn w:val="1"/>
    <w:next w:val="1"/>
    <w:autoRedefine/>
    <w:semiHidden/>
    <w:qFormat/>
    <w:uiPriority w:val="0"/>
    <w:pPr>
      <w:spacing w:line="240" w:lineRule="atLeast"/>
    </w:pPr>
    <w:rPr>
      <w:b/>
      <w:bCs/>
      <w:szCs w:val="21"/>
    </w:rPr>
  </w:style>
  <w:style w:type="paragraph" w:styleId="47">
    <w:name w:val="Title"/>
    <w:basedOn w:val="1"/>
    <w:link w:val="95"/>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8">
    <w:name w:val="annotation subject"/>
    <w:basedOn w:val="17"/>
    <w:next w:val="17"/>
    <w:link w:val="96"/>
    <w:autoRedefine/>
    <w:unhideWhenUsed/>
    <w:qFormat/>
    <w:uiPriority w:val="99"/>
    <w:rPr>
      <w:b/>
      <w:bCs/>
    </w:rPr>
  </w:style>
  <w:style w:type="paragraph" w:styleId="49">
    <w:name w:val="Body Text First Indent"/>
    <w:basedOn w:val="19"/>
    <w:link w:val="97"/>
    <w:autoRedefine/>
    <w:qFormat/>
    <w:uiPriority w:val="0"/>
    <w:pPr>
      <w:spacing w:after="120"/>
      <w:ind w:firstLine="420" w:firstLineChars="100"/>
    </w:pPr>
    <w:rPr>
      <w:rFonts w:ascii="Times New Roman" w:eastAsia="宋体"/>
      <w:szCs w:val="24"/>
    </w:rPr>
  </w:style>
  <w:style w:type="paragraph" w:styleId="50">
    <w:name w:val="Body Text First Indent 2"/>
    <w:basedOn w:val="20"/>
    <w:next w:val="1"/>
    <w:link w:val="98"/>
    <w:autoRedefine/>
    <w:unhideWhenUsed/>
    <w:qFormat/>
    <w:uiPriority w:val="99"/>
    <w:pPr>
      <w:spacing w:after="120"/>
      <w:ind w:left="420" w:leftChars="200" w:firstLine="420" w:firstLineChars="200"/>
    </w:pPr>
    <w:rPr>
      <w:rFonts w:ascii="Times New Roman" w:eastAsia="宋体"/>
      <w:kern w:val="2"/>
      <w:sz w:val="21"/>
      <w:szCs w:val="24"/>
    </w:rPr>
  </w:style>
  <w:style w:type="table" w:styleId="52">
    <w:name w:val="Table Grid"/>
    <w:basedOn w:val="51"/>
    <w:autoRedefine/>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4">
    <w:name w:val="Strong"/>
    <w:autoRedefine/>
    <w:qFormat/>
    <w:uiPriority w:val="22"/>
    <w:rPr>
      <w:b/>
      <w:bCs/>
    </w:rPr>
  </w:style>
  <w:style w:type="character" w:styleId="55">
    <w:name w:val="page number"/>
    <w:autoRedefine/>
    <w:qFormat/>
    <w:uiPriority w:val="0"/>
  </w:style>
  <w:style w:type="character" w:styleId="56">
    <w:name w:val="FollowedHyperlink"/>
    <w:autoRedefine/>
    <w:qFormat/>
    <w:uiPriority w:val="99"/>
    <w:rPr>
      <w:color w:val="800080"/>
      <w:u w:val="single"/>
    </w:rPr>
  </w:style>
  <w:style w:type="character" w:styleId="57">
    <w:name w:val="Emphasis"/>
    <w:autoRedefine/>
    <w:qFormat/>
    <w:uiPriority w:val="0"/>
    <w:rPr>
      <w:b/>
      <w:bCs/>
    </w:rPr>
  </w:style>
  <w:style w:type="character" w:styleId="58">
    <w:name w:val="HTML Definition"/>
    <w:autoRedefine/>
    <w:unhideWhenUsed/>
    <w:qFormat/>
    <w:uiPriority w:val="99"/>
  </w:style>
  <w:style w:type="character" w:styleId="59">
    <w:name w:val="HTML Typewriter"/>
    <w:autoRedefine/>
    <w:unhideWhenUsed/>
    <w:qFormat/>
    <w:uiPriority w:val="99"/>
    <w:rPr>
      <w:rFonts w:hint="default" w:ascii="monospace" w:hAnsi="monospace" w:eastAsia="monospace" w:cs="monospace"/>
      <w:sz w:val="20"/>
    </w:rPr>
  </w:style>
  <w:style w:type="character" w:styleId="60">
    <w:name w:val="HTML Acronym"/>
    <w:autoRedefine/>
    <w:unhideWhenUsed/>
    <w:qFormat/>
    <w:uiPriority w:val="99"/>
  </w:style>
  <w:style w:type="character" w:styleId="61">
    <w:name w:val="HTML Variable"/>
    <w:autoRedefine/>
    <w:unhideWhenUsed/>
    <w:qFormat/>
    <w:uiPriority w:val="99"/>
  </w:style>
  <w:style w:type="character" w:styleId="62">
    <w:name w:val="Hyperlink"/>
    <w:autoRedefine/>
    <w:qFormat/>
    <w:uiPriority w:val="99"/>
    <w:rPr>
      <w:color w:val="0000FF"/>
      <w:u w:val="single"/>
    </w:rPr>
  </w:style>
  <w:style w:type="character" w:styleId="63">
    <w:name w:val="HTML Code"/>
    <w:autoRedefine/>
    <w:unhideWhenUsed/>
    <w:qFormat/>
    <w:uiPriority w:val="99"/>
    <w:rPr>
      <w:rFonts w:hint="default" w:ascii="monospace" w:hAnsi="monospace" w:eastAsia="monospace" w:cs="monospace"/>
      <w:sz w:val="20"/>
    </w:rPr>
  </w:style>
  <w:style w:type="character" w:styleId="64">
    <w:name w:val="annotation reference"/>
    <w:autoRedefine/>
    <w:unhideWhenUsed/>
    <w:qFormat/>
    <w:uiPriority w:val="99"/>
    <w:rPr>
      <w:sz w:val="21"/>
      <w:szCs w:val="21"/>
    </w:rPr>
  </w:style>
  <w:style w:type="character" w:styleId="65">
    <w:name w:val="HTML Cite"/>
    <w:autoRedefine/>
    <w:unhideWhenUsed/>
    <w:qFormat/>
    <w:uiPriority w:val="99"/>
  </w:style>
  <w:style w:type="character" w:styleId="66">
    <w:name w:val="footnote reference"/>
    <w:autoRedefine/>
    <w:qFormat/>
    <w:uiPriority w:val="0"/>
    <w:rPr>
      <w:vertAlign w:val="superscript"/>
    </w:rPr>
  </w:style>
  <w:style w:type="character" w:styleId="67">
    <w:name w:val="HTML Keyboard"/>
    <w:autoRedefine/>
    <w:unhideWhenUsed/>
    <w:qFormat/>
    <w:uiPriority w:val="99"/>
    <w:rPr>
      <w:rFonts w:ascii="monospace" w:hAnsi="monospace" w:eastAsia="monospace" w:cs="monospace"/>
      <w:sz w:val="20"/>
    </w:rPr>
  </w:style>
  <w:style w:type="character" w:styleId="68">
    <w:name w:val="HTML Sample"/>
    <w:autoRedefine/>
    <w:unhideWhenUsed/>
    <w:qFormat/>
    <w:uiPriority w:val="99"/>
    <w:rPr>
      <w:rFonts w:hint="default" w:ascii="monospace" w:hAnsi="monospace" w:eastAsia="monospace" w:cs="monospace"/>
    </w:rPr>
  </w:style>
  <w:style w:type="character" w:customStyle="1" w:styleId="69">
    <w:name w:val="正文文本 Char3"/>
    <w:link w:val="19"/>
    <w:autoRedefine/>
    <w:qFormat/>
    <w:uiPriority w:val="99"/>
    <w:rPr>
      <w:rFonts w:ascii="仿宋_GB2312" w:hAnsi="Times New Roman" w:eastAsia="仿宋_GB2312" w:cs="Times New Roman"/>
      <w:sz w:val="24"/>
      <w:szCs w:val="20"/>
    </w:rPr>
  </w:style>
  <w:style w:type="character" w:customStyle="1" w:styleId="70">
    <w:name w:val="标题 1 Char2"/>
    <w:link w:val="3"/>
    <w:autoRedefine/>
    <w:qFormat/>
    <w:uiPriority w:val="0"/>
    <w:rPr>
      <w:rFonts w:ascii="Times New Roman" w:hAnsi="Times New Roman" w:eastAsia="宋体" w:cs="Times New Roman"/>
      <w:b/>
      <w:bCs/>
      <w:kern w:val="44"/>
      <w:sz w:val="44"/>
      <w:szCs w:val="44"/>
    </w:rPr>
  </w:style>
  <w:style w:type="character" w:customStyle="1" w:styleId="71">
    <w:name w:val="标题 2 Char2"/>
    <w:link w:val="4"/>
    <w:autoRedefine/>
    <w:qFormat/>
    <w:uiPriority w:val="0"/>
    <w:rPr>
      <w:rFonts w:ascii="Arial" w:hAnsi="Arial" w:eastAsia="黑体" w:cs="Times New Roman"/>
      <w:b/>
      <w:bCs/>
      <w:sz w:val="32"/>
      <w:szCs w:val="32"/>
    </w:rPr>
  </w:style>
  <w:style w:type="character" w:customStyle="1" w:styleId="72">
    <w:name w:val="标题 3 Char2"/>
    <w:link w:val="5"/>
    <w:autoRedefine/>
    <w:qFormat/>
    <w:uiPriority w:val="0"/>
    <w:rPr>
      <w:rFonts w:ascii="Times New Roman" w:hAnsi="Times New Roman" w:eastAsia="宋体" w:cs="Times New Roman"/>
      <w:b/>
      <w:bCs/>
      <w:sz w:val="32"/>
      <w:szCs w:val="32"/>
    </w:rPr>
  </w:style>
  <w:style w:type="character" w:customStyle="1" w:styleId="73">
    <w:name w:val="标题 4 Char3"/>
    <w:link w:val="6"/>
    <w:autoRedefine/>
    <w:qFormat/>
    <w:uiPriority w:val="0"/>
    <w:rPr>
      <w:rFonts w:ascii="Times New Roman" w:hAnsi="Times New Roman" w:eastAsia="新宋体" w:cs="Times New Roman"/>
      <w:sz w:val="30"/>
      <w:szCs w:val="21"/>
    </w:rPr>
  </w:style>
  <w:style w:type="character" w:customStyle="1" w:styleId="74">
    <w:name w:val="标题 5 Char2"/>
    <w:link w:val="7"/>
    <w:autoRedefine/>
    <w:qFormat/>
    <w:uiPriority w:val="9"/>
    <w:rPr>
      <w:rFonts w:ascii="Times New Roman" w:hAnsi="Times New Roman" w:eastAsia="宋体" w:cs="Times New Roman"/>
      <w:b/>
      <w:bCs/>
      <w:sz w:val="28"/>
      <w:szCs w:val="28"/>
    </w:rPr>
  </w:style>
  <w:style w:type="character" w:customStyle="1" w:styleId="75">
    <w:name w:val="标题 6 Char2"/>
    <w:link w:val="8"/>
    <w:autoRedefine/>
    <w:qFormat/>
    <w:uiPriority w:val="9"/>
    <w:rPr>
      <w:rFonts w:ascii="Times New Roman" w:hAnsi="Times New Roman" w:eastAsia="宋体" w:cs="Times New Roman"/>
      <w:b/>
      <w:sz w:val="44"/>
      <w:szCs w:val="20"/>
    </w:rPr>
  </w:style>
  <w:style w:type="character" w:customStyle="1" w:styleId="76">
    <w:name w:val="正文缩进 Char2"/>
    <w:link w:val="9"/>
    <w:autoRedefine/>
    <w:qFormat/>
    <w:uiPriority w:val="0"/>
    <w:rPr>
      <w:rFonts w:ascii="Times New Roman" w:hAnsi="Times New Roman" w:eastAsia="宋体" w:cs="Times New Roman"/>
      <w:kern w:val="0"/>
      <w:sz w:val="20"/>
      <w:szCs w:val="20"/>
    </w:rPr>
  </w:style>
  <w:style w:type="character" w:customStyle="1" w:styleId="77">
    <w:name w:val="标题 7 Char2"/>
    <w:link w:val="10"/>
    <w:autoRedefine/>
    <w:qFormat/>
    <w:uiPriority w:val="9"/>
    <w:rPr>
      <w:rFonts w:ascii="Times New Roman" w:hAnsi="Times New Roman" w:eastAsia="宋体" w:cs="Times New Roman"/>
      <w:b/>
      <w:bCs/>
      <w:sz w:val="24"/>
      <w:szCs w:val="24"/>
    </w:rPr>
  </w:style>
  <w:style w:type="character" w:customStyle="1" w:styleId="78">
    <w:name w:val="标题 8 Char2"/>
    <w:link w:val="11"/>
    <w:autoRedefine/>
    <w:qFormat/>
    <w:uiPriority w:val="9"/>
    <w:rPr>
      <w:rFonts w:ascii="Arial" w:hAnsi="Arial" w:eastAsia="黑体" w:cs="Times New Roman"/>
      <w:sz w:val="24"/>
      <w:szCs w:val="24"/>
    </w:rPr>
  </w:style>
  <w:style w:type="character" w:customStyle="1" w:styleId="79">
    <w:name w:val="标题 9 Char2"/>
    <w:link w:val="12"/>
    <w:autoRedefine/>
    <w:qFormat/>
    <w:uiPriority w:val="0"/>
    <w:rPr>
      <w:rFonts w:ascii="Arial" w:hAnsi="Arial" w:eastAsia="黑体" w:cs="Times New Roman"/>
      <w:sz w:val="24"/>
      <w:szCs w:val="21"/>
    </w:rPr>
  </w:style>
  <w:style w:type="character" w:customStyle="1" w:styleId="80">
    <w:name w:val="文档结构图 Char3"/>
    <w:link w:val="16"/>
    <w:autoRedefine/>
    <w:semiHidden/>
    <w:qFormat/>
    <w:uiPriority w:val="0"/>
    <w:rPr>
      <w:szCs w:val="24"/>
      <w:shd w:val="clear" w:color="auto" w:fill="000080"/>
    </w:rPr>
  </w:style>
  <w:style w:type="character" w:customStyle="1" w:styleId="81">
    <w:name w:val="批注文字 Char"/>
    <w:link w:val="17"/>
    <w:autoRedefine/>
    <w:qFormat/>
    <w:uiPriority w:val="99"/>
    <w:rPr>
      <w:kern w:val="2"/>
      <w:sz w:val="21"/>
      <w:szCs w:val="24"/>
    </w:rPr>
  </w:style>
  <w:style w:type="character" w:customStyle="1" w:styleId="82">
    <w:name w:val="正文文本 3 Char3"/>
    <w:link w:val="18"/>
    <w:autoRedefine/>
    <w:qFormat/>
    <w:uiPriority w:val="0"/>
    <w:rPr>
      <w:rFonts w:ascii="Times New Roman" w:hAnsi="Times New Roman" w:eastAsia="宋体" w:cs="Times New Roman"/>
      <w:sz w:val="16"/>
      <w:szCs w:val="16"/>
    </w:rPr>
  </w:style>
  <w:style w:type="character" w:customStyle="1" w:styleId="83">
    <w:name w:val="正文文本缩进 Char3"/>
    <w:link w:val="20"/>
    <w:autoRedefine/>
    <w:qFormat/>
    <w:uiPriority w:val="0"/>
    <w:rPr>
      <w:rFonts w:ascii="仿宋_GB2312" w:hAnsi="Times New Roman" w:eastAsia="仿宋_GB2312" w:cs="Times New Roman"/>
      <w:sz w:val="28"/>
      <w:szCs w:val="20"/>
    </w:rPr>
  </w:style>
  <w:style w:type="character" w:customStyle="1" w:styleId="84">
    <w:name w:val="纯文本 Char3"/>
    <w:link w:val="26"/>
    <w:autoRedefine/>
    <w:qFormat/>
    <w:uiPriority w:val="0"/>
    <w:rPr>
      <w:rFonts w:ascii="宋体" w:hAnsi="Courier New" w:eastAsia="宋体" w:cs="Courier New"/>
      <w:szCs w:val="21"/>
    </w:rPr>
  </w:style>
  <w:style w:type="character" w:customStyle="1" w:styleId="85">
    <w:name w:val="日期 Char2"/>
    <w:link w:val="28"/>
    <w:autoRedefine/>
    <w:qFormat/>
    <w:uiPriority w:val="0"/>
    <w:rPr>
      <w:rFonts w:ascii="Times New Roman" w:hAnsi="Times New Roman" w:eastAsia="宋体" w:cs="Times New Roman"/>
      <w:sz w:val="24"/>
      <w:szCs w:val="20"/>
    </w:rPr>
  </w:style>
  <w:style w:type="character" w:customStyle="1" w:styleId="86">
    <w:name w:val="正文文本缩进 2 Char3"/>
    <w:link w:val="29"/>
    <w:autoRedefine/>
    <w:qFormat/>
    <w:uiPriority w:val="0"/>
    <w:rPr>
      <w:rFonts w:ascii="Times New Roman" w:hAnsi="Times New Roman" w:eastAsia="仿宋_GB2312" w:cs="Times New Roman"/>
      <w:sz w:val="28"/>
      <w:szCs w:val="20"/>
    </w:rPr>
  </w:style>
  <w:style w:type="character" w:customStyle="1" w:styleId="87">
    <w:name w:val="批注框文本 Char3"/>
    <w:link w:val="30"/>
    <w:autoRedefine/>
    <w:semiHidden/>
    <w:qFormat/>
    <w:uiPriority w:val="0"/>
    <w:rPr>
      <w:sz w:val="18"/>
      <w:szCs w:val="18"/>
    </w:rPr>
  </w:style>
  <w:style w:type="character" w:customStyle="1" w:styleId="88">
    <w:name w:val="页脚 Char3"/>
    <w:link w:val="31"/>
    <w:autoRedefine/>
    <w:qFormat/>
    <w:uiPriority w:val="99"/>
    <w:rPr>
      <w:rFonts w:ascii="Times New Roman" w:hAnsi="Times New Roman" w:eastAsia="宋体" w:cs="Times New Roman"/>
      <w:sz w:val="18"/>
      <w:szCs w:val="20"/>
    </w:rPr>
  </w:style>
  <w:style w:type="character" w:customStyle="1" w:styleId="89">
    <w:name w:val="页眉 Char3"/>
    <w:link w:val="32"/>
    <w:autoRedefine/>
    <w:qFormat/>
    <w:uiPriority w:val="99"/>
    <w:rPr>
      <w:rFonts w:ascii="Times New Roman" w:hAnsi="Times New Roman" w:eastAsia="宋体" w:cs="Times New Roman"/>
      <w:sz w:val="18"/>
      <w:szCs w:val="18"/>
    </w:rPr>
  </w:style>
  <w:style w:type="character" w:customStyle="1" w:styleId="90">
    <w:name w:val="目录 4 Char"/>
    <w:link w:val="34"/>
    <w:autoRedefine/>
    <w:qFormat/>
    <w:locked/>
    <w:uiPriority w:val="39"/>
    <w:rPr>
      <w:kern w:val="2"/>
      <w:sz w:val="21"/>
      <w:szCs w:val="21"/>
    </w:rPr>
  </w:style>
  <w:style w:type="character" w:customStyle="1" w:styleId="91">
    <w:name w:val="副标题 Char"/>
    <w:link w:val="35"/>
    <w:autoRedefine/>
    <w:qFormat/>
    <w:uiPriority w:val="0"/>
    <w:rPr>
      <w:rFonts w:ascii="Cambria" w:hAnsi="Cambria"/>
      <w:b/>
      <w:bCs/>
      <w:kern w:val="28"/>
      <w:sz w:val="32"/>
      <w:szCs w:val="32"/>
    </w:rPr>
  </w:style>
  <w:style w:type="character" w:customStyle="1" w:styleId="92">
    <w:name w:val="脚注文本 Char"/>
    <w:link w:val="37"/>
    <w:autoRedefine/>
    <w:qFormat/>
    <w:uiPriority w:val="0"/>
    <w:rPr>
      <w:kern w:val="2"/>
    </w:rPr>
  </w:style>
  <w:style w:type="character" w:customStyle="1" w:styleId="93">
    <w:name w:val="正文文本缩进 3 Char3"/>
    <w:link w:val="39"/>
    <w:autoRedefine/>
    <w:qFormat/>
    <w:uiPriority w:val="0"/>
    <w:rPr>
      <w:rFonts w:ascii="Times New Roman" w:hAnsi="Times New Roman" w:eastAsia="宋体" w:cs="Times New Roman"/>
      <w:sz w:val="16"/>
      <w:szCs w:val="16"/>
    </w:rPr>
  </w:style>
  <w:style w:type="character" w:customStyle="1" w:styleId="94">
    <w:name w:val="正文文本 2 Char3"/>
    <w:link w:val="43"/>
    <w:autoRedefine/>
    <w:qFormat/>
    <w:uiPriority w:val="0"/>
    <w:rPr>
      <w:rFonts w:ascii="Times New Roman" w:hAnsi="Times New Roman" w:eastAsia="宋体" w:cs="Times New Roman"/>
      <w:b/>
      <w:bCs/>
      <w:sz w:val="18"/>
      <w:szCs w:val="24"/>
    </w:rPr>
  </w:style>
  <w:style w:type="character" w:customStyle="1" w:styleId="95">
    <w:name w:val="标题 Char"/>
    <w:link w:val="47"/>
    <w:autoRedefine/>
    <w:qFormat/>
    <w:uiPriority w:val="0"/>
    <w:rPr>
      <w:rFonts w:ascii="Arial" w:hAnsi="Arial"/>
      <w:b/>
      <w:sz w:val="32"/>
    </w:rPr>
  </w:style>
  <w:style w:type="character" w:customStyle="1" w:styleId="96">
    <w:name w:val="批注主题 Char"/>
    <w:link w:val="48"/>
    <w:autoRedefine/>
    <w:qFormat/>
    <w:uiPriority w:val="99"/>
    <w:rPr>
      <w:b/>
      <w:bCs/>
      <w:kern w:val="2"/>
      <w:sz w:val="21"/>
      <w:szCs w:val="24"/>
    </w:rPr>
  </w:style>
  <w:style w:type="character" w:customStyle="1" w:styleId="97">
    <w:name w:val="正文首行缩进 Char2"/>
    <w:link w:val="49"/>
    <w:autoRedefine/>
    <w:qFormat/>
    <w:uiPriority w:val="0"/>
    <w:rPr>
      <w:rFonts w:ascii="Times New Roman" w:hAnsi="Times New Roman" w:eastAsia="宋体" w:cs="Times New Roman"/>
      <w:sz w:val="24"/>
      <w:szCs w:val="24"/>
    </w:rPr>
  </w:style>
  <w:style w:type="character" w:customStyle="1" w:styleId="98">
    <w:name w:val="正文首行缩进 2 Char"/>
    <w:link w:val="50"/>
    <w:autoRedefine/>
    <w:qFormat/>
    <w:uiPriority w:val="99"/>
    <w:rPr>
      <w:rFonts w:ascii="仿宋_GB2312" w:hAnsi="Times New Roman" w:eastAsia="仿宋_GB2312" w:cs="Times New Roman"/>
      <w:kern w:val="2"/>
      <w:sz w:val="21"/>
      <w:szCs w:val="24"/>
    </w:rPr>
  </w:style>
  <w:style w:type="character" w:customStyle="1" w:styleId="99">
    <w:name w:val="列出段落 Char2"/>
    <w:link w:val="100"/>
    <w:autoRedefine/>
    <w:qFormat/>
    <w:locked/>
    <w:uiPriority w:val="99"/>
  </w:style>
  <w:style w:type="paragraph" w:styleId="100">
    <w:name w:val="List Paragraph"/>
    <w:basedOn w:val="1"/>
    <w:link w:val="99"/>
    <w:autoRedefine/>
    <w:qFormat/>
    <w:uiPriority w:val="99"/>
    <w:pPr>
      <w:ind w:firstLine="420" w:firstLineChars="200"/>
    </w:pPr>
    <w:rPr>
      <w:kern w:val="0"/>
      <w:sz w:val="20"/>
      <w:szCs w:val="20"/>
    </w:rPr>
  </w:style>
  <w:style w:type="character" w:customStyle="1" w:styleId="101">
    <w:name w:val="文档结构图 Char1"/>
    <w:autoRedefine/>
    <w:semiHidden/>
    <w:qFormat/>
    <w:uiPriority w:val="0"/>
    <w:rPr>
      <w:rFonts w:ascii="宋体" w:hAnsi="Times New Roman" w:eastAsia="宋体" w:cs="Times New Roman"/>
      <w:sz w:val="18"/>
      <w:szCs w:val="18"/>
    </w:rPr>
  </w:style>
  <w:style w:type="character" w:customStyle="1" w:styleId="102">
    <w:name w:val="普通正文 Char"/>
    <w:link w:val="103"/>
    <w:autoRedefine/>
    <w:qFormat/>
    <w:uiPriority w:val="0"/>
    <w:rPr>
      <w:rFonts w:ascii="Arial" w:hAnsi="Arial"/>
      <w:sz w:val="24"/>
      <w:szCs w:val="24"/>
    </w:rPr>
  </w:style>
  <w:style w:type="paragraph" w:customStyle="1" w:styleId="103">
    <w:name w:val="普通正文"/>
    <w:basedOn w:val="1"/>
    <w:link w:val="102"/>
    <w:autoRedefine/>
    <w:qFormat/>
    <w:uiPriority w:val="0"/>
    <w:pPr>
      <w:adjustRightInd w:val="0"/>
      <w:spacing w:before="120" w:after="120" w:line="360" w:lineRule="auto"/>
      <w:ind w:left="-2" w:right="120" w:firstLine="480"/>
      <w:jc w:val="center"/>
      <w:textAlignment w:val="baseline"/>
    </w:pPr>
    <w:rPr>
      <w:rFonts w:ascii="Arial" w:hAnsi="Arial"/>
      <w:kern w:val="0"/>
      <w:sz w:val="24"/>
    </w:rPr>
  </w:style>
  <w:style w:type="character" w:customStyle="1" w:styleId="104">
    <w:name w:val="FA正文 Char"/>
    <w:link w:val="105"/>
    <w:autoRedefine/>
    <w:qFormat/>
    <w:uiPriority w:val="0"/>
    <w:rPr>
      <w:rFonts w:ascii="宋体" w:hAnsi="宋体" w:eastAsia="宋体" w:cs="Times New Roman"/>
      <w:sz w:val="28"/>
      <w:szCs w:val="28"/>
    </w:rPr>
  </w:style>
  <w:style w:type="paragraph" w:customStyle="1" w:styleId="105">
    <w:name w:val="FA正文"/>
    <w:basedOn w:val="1"/>
    <w:link w:val="104"/>
    <w:autoRedefine/>
    <w:qFormat/>
    <w:uiPriority w:val="0"/>
    <w:pPr>
      <w:tabs>
        <w:tab w:val="left" w:pos="3375"/>
      </w:tabs>
      <w:spacing w:line="440" w:lineRule="atLeast"/>
      <w:ind w:firstLine="538" w:firstLineChars="192"/>
    </w:pPr>
    <w:rPr>
      <w:rFonts w:ascii="宋体" w:hAnsi="宋体"/>
      <w:kern w:val="0"/>
      <w:sz w:val="28"/>
      <w:szCs w:val="28"/>
    </w:rPr>
  </w:style>
  <w:style w:type="character" w:customStyle="1" w:styleId="106">
    <w:name w:val="正文缩进2格 Char"/>
    <w:link w:val="107"/>
    <w:autoRedefine/>
    <w:qFormat/>
    <w:uiPriority w:val="0"/>
    <w:rPr>
      <w:rFonts w:ascii="仿宋_GB2312" w:hAnsi="宋体" w:eastAsia="仿宋_GB2312" w:cs="Times New Roman"/>
      <w:sz w:val="31"/>
      <w:szCs w:val="28"/>
    </w:rPr>
  </w:style>
  <w:style w:type="paragraph" w:customStyle="1" w:styleId="107">
    <w:name w:val="正文缩进2格"/>
    <w:basedOn w:val="1"/>
    <w:link w:val="106"/>
    <w:autoRedefine/>
    <w:qFormat/>
    <w:uiPriority w:val="0"/>
    <w:pPr>
      <w:spacing w:line="600" w:lineRule="exact"/>
      <w:ind w:firstLine="639" w:firstLineChars="206"/>
    </w:pPr>
    <w:rPr>
      <w:rFonts w:ascii="仿宋_GB2312" w:hAnsi="宋体" w:eastAsia="仿宋_GB2312"/>
      <w:kern w:val="0"/>
      <w:sz w:val="31"/>
      <w:szCs w:val="28"/>
    </w:rPr>
  </w:style>
  <w:style w:type="character" w:customStyle="1" w:styleId="108">
    <w:name w:val="cn_text1"/>
    <w:autoRedefine/>
    <w:qFormat/>
    <w:uiPriority w:val="0"/>
    <w:rPr>
      <w:rFonts w:hint="default" w:ascii="ˎ̥" w:hAnsi="ˎ̥"/>
      <w:color w:val="003399"/>
      <w:spacing w:val="15"/>
      <w:sz w:val="18"/>
      <w:szCs w:val="18"/>
    </w:rPr>
  </w:style>
  <w:style w:type="character" w:customStyle="1" w:styleId="109">
    <w:name w:val="ssss Char"/>
    <w:autoRedefine/>
    <w:qFormat/>
    <w:uiPriority w:val="0"/>
    <w:rPr>
      <w:rFonts w:eastAsia="宋体"/>
      <w:kern w:val="2"/>
      <w:sz w:val="24"/>
      <w:szCs w:val="24"/>
      <w:lang w:val="en-US" w:eastAsia="zh-CN" w:bidi="ar-SA"/>
    </w:rPr>
  </w:style>
  <w:style w:type="character" w:customStyle="1" w:styleId="110">
    <w:name w:val="ssss Char1"/>
    <w:link w:val="111"/>
    <w:autoRedefine/>
    <w:qFormat/>
    <w:uiPriority w:val="0"/>
    <w:rPr>
      <w:rFonts w:ascii="Times New Roman" w:hAnsi="Times New Roman" w:eastAsia="宋体" w:cs="Times New Roman"/>
      <w:sz w:val="24"/>
      <w:szCs w:val="24"/>
    </w:rPr>
  </w:style>
  <w:style w:type="paragraph" w:customStyle="1" w:styleId="111">
    <w:name w:val="ssss"/>
    <w:basedOn w:val="1"/>
    <w:link w:val="110"/>
    <w:autoRedefine/>
    <w:qFormat/>
    <w:uiPriority w:val="0"/>
    <w:pPr>
      <w:spacing w:line="360" w:lineRule="auto"/>
      <w:ind w:firstLine="480" w:firstLineChars="200"/>
    </w:pPr>
    <w:rPr>
      <w:kern w:val="0"/>
      <w:sz w:val="24"/>
    </w:rPr>
  </w:style>
  <w:style w:type="character" w:customStyle="1" w:styleId="112">
    <w:name w:val="标题 4 Char1"/>
    <w:autoRedefine/>
    <w:qFormat/>
    <w:uiPriority w:val="0"/>
    <w:rPr>
      <w:rFonts w:ascii="Arial" w:hAnsi="Arial" w:eastAsia="黑体"/>
      <w:b/>
      <w:bCs/>
      <w:kern w:val="2"/>
      <w:sz w:val="28"/>
      <w:szCs w:val="28"/>
      <w:lang w:val="en-US" w:eastAsia="zh-CN" w:bidi="ar-SA"/>
    </w:rPr>
  </w:style>
  <w:style w:type="character" w:customStyle="1" w:styleId="113">
    <w:name w:val="列表段落 字符"/>
    <w:autoRedefine/>
    <w:qFormat/>
    <w:uiPriority w:val="99"/>
    <w:rPr>
      <w:rFonts w:ascii="Calibri" w:hAnsi="Calibri"/>
      <w:kern w:val="2"/>
      <w:sz w:val="21"/>
      <w:szCs w:val="22"/>
    </w:rPr>
  </w:style>
  <w:style w:type="character" w:customStyle="1" w:styleId="114">
    <w:name w:val="批注框文本 Char1"/>
    <w:autoRedefine/>
    <w:semiHidden/>
    <w:qFormat/>
    <w:uiPriority w:val="0"/>
    <w:rPr>
      <w:rFonts w:ascii="Times New Roman" w:hAnsi="Times New Roman" w:eastAsia="宋体" w:cs="Times New Roman"/>
      <w:sz w:val="18"/>
      <w:szCs w:val="18"/>
    </w:rPr>
  </w:style>
  <w:style w:type="character" w:customStyle="1" w:styleId="115">
    <w:name w:val="样式 ssss + 宋体 五号1 Char"/>
    <w:link w:val="116"/>
    <w:autoRedefine/>
    <w:qFormat/>
    <w:uiPriority w:val="0"/>
    <w:rPr>
      <w:rFonts w:ascii="宋体" w:hAnsi="宋体" w:eastAsia="宋体" w:cs="Times New Roman"/>
      <w:sz w:val="24"/>
      <w:szCs w:val="24"/>
    </w:rPr>
  </w:style>
  <w:style w:type="paragraph" w:customStyle="1" w:styleId="116">
    <w:name w:val="样式 ssss + 宋体 五号1"/>
    <w:basedOn w:val="111"/>
    <w:link w:val="115"/>
    <w:autoRedefine/>
    <w:qFormat/>
    <w:uiPriority w:val="0"/>
    <w:rPr>
      <w:rFonts w:ascii="宋体" w:hAnsi="宋体"/>
    </w:rPr>
  </w:style>
  <w:style w:type="character" w:customStyle="1" w:styleId="117">
    <w:name w:val="point_normal1"/>
    <w:autoRedefine/>
    <w:qFormat/>
    <w:uiPriority w:val="0"/>
    <w:rPr>
      <w:rFonts w:hint="default" w:ascii="Arial" w:hAnsi="Arial" w:cs="Arial"/>
      <w:sz w:val="16"/>
      <w:szCs w:val="16"/>
    </w:rPr>
  </w:style>
  <w:style w:type="paragraph" w:customStyle="1" w:styleId="118">
    <w:name w:val="样式 正文文本缩进 3 + 四号"/>
    <w:basedOn w:val="39"/>
    <w:autoRedefine/>
    <w:qFormat/>
    <w:uiPriority w:val="0"/>
    <w:pPr>
      <w:spacing w:after="0" w:line="360" w:lineRule="auto"/>
      <w:ind w:left="0" w:leftChars="0" w:firstLine="437"/>
    </w:pPr>
    <w:rPr>
      <w:sz w:val="24"/>
      <w:szCs w:val="21"/>
    </w:rPr>
  </w:style>
  <w:style w:type="paragraph" w:customStyle="1" w:styleId="119">
    <w:name w:val="2cxsplas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0">
    <w:name w:val="ec_msonormal"/>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121">
    <w:name w:val="Char Char Char Char"/>
    <w:basedOn w:val="1"/>
    <w:autoRedefine/>
    <w:qFormat/>
    <w:uiPriority w:val="0"/>
    <w:rPr>
      <w:rFonts w:ascii="Tahoma" w:hAnsi="Tahoma"/>
      <w:sz w:val="24"/>
      <w:szCs w:val="20"/>
    </w:rPr>
  </w:style>
  <w:style w:type="paragraph" w:customStyle="1" w:styleId="122">
    <w:name w:val="Char Char Char Char Char Char Char Char Char Char Char Char Char"/>
    <w:basedOn w:val="1"/>
    <w:autoRedefine/>
    <w:qFormat/>
    <w:uiPriority w:val="0"/>
  </w:style>
  <w:style w:type="paragraph" w:customStyle="1" w:styleId="123">
    <w:name w:val="表格正文"/>
    <w:basedOn w:val="1"/>
    <w:autoRedefine/>
    <w:qFormat/>
    <w:uiPriority w:val="0"/>
    <w:pPr>
      <w:spacing w:line="360" w:lineRule="auto"/>
      <w:jc w:val="left"/>
    </w:pPr>
    <w:rPr>
      <w:rFonts w:ascii="Calibri" w:hAnsi="Calibri"/>
      <w:color w:val="000000"/>
      <w:szCs w:val="28"/>
    </w:rPr>
  </w:style>
  <w:style w:type="paragraph" w:customStyle="1" w:styleId="124">
    <w:name w:val="正文1"/>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25">
    <w:name w:val="Char Char Char Char1"/>
    <w:basedOn w:val="1"/>
    <w:autoRedefine/>
    <w:qFormat/>
    <w:uiPriority w:val="0"/>
    <w:rPr>
      <w:rFonts w:ascii="Tahoma" w:hAnsi="Tahoma"/>
      <w:sz w:val="24"/>
      <w:szCs w:val="20"/>
    </w:rPr>
  </w:style>
  <w:style w:type="paragraph" w:customStyle="1" w:styleId="126">
    <w:name w:val="Char Char Char"/>
    <w:basedOn w:val="1"/>
    <w:autoRedefine/>
    <w:qFormat/>
    <w:uiPriority w:val="0"/>
    <w:rPr>
      <w:rFonts w:ascii="Tahoma" w:hAnsi="Tahoma"/>
      <w:sz w:val="24"/>
      <w:szCs w:val="20"/>
    </w:rPr>
  </w:style>
  <w:style w:type="paragraph" w:customStyle="1" w:styleId="127">
    <w:name w:val="标题-----3"/>
    <w:basedOn w:val="5"/>
    <w:autoRedefine/>
    <w:qFormat/>
    <w:uiPriority w:val="0"/>
    <w:pPr>
      <w:spacing w:before="0" w:after="0" w:line="240" w:lineRule="auto"/>
      <w:outlineLvl w:val="0"/>
    </w:pPr>
    <w:rPr>
      <w:rFonts w:ascii="宋体" w:hAnsi="宋体"/>
      <w:b w:val="0"/>
      <w:bCs w:val="0"/>
      <w:sz w:val="28"/>
      <w:szCs w:val="28"/>
    </w:rPr>
  </w:style>
  <w:style w:type="paragraph" w:customStyle="1" w:styleId="128">
    <w:name w:val="样式 ssss + 居中"/>
    <w:basedOn w:val="111"/>
    <w:autoRedefine/>
    <w:qFormat/>
    <w:uiPriority w:val="0"/>
    <w:pPr>
      <w:jc w:val="center"/>
    </w:pPr>
    <w:rPr>
      <w:rFonts w:cs="宋体"/>
      <w:szCs w:val="20"/>
    </w:rPr>
  </w:style>
  <w:style w:type="paragraph" w:customStyle="1" w:styleId="129">
    <w:name w:val="样式 宋体 四号 黑色 左侧:  0.74 厘米 首行缩进:  0.74 厘米 行距: 1.5 倍行距"/>
    <w:basedOn w:val="1"/>
    <w:autoRedefine/>
    <w:qFormat/>
    <w:uiPriority w:val="0"/>
    <w:pPr>
      <w:spacing w:line="360" w:lineRule="auto"/>
      <w:ind w:firstLine="420"/>
    </w:pPr>
    <w:rPr>
      <w:rFonts w:ascii="宋体"/>
      <w:color w:val="000000"/>
      <w:sz w:val="24"/>
      <w:szCs w:val="21"/>
    </w:rPr>
  </w:style>
  <w:style w:type="paragraph" w:customStyle="1" w:styleId="130">
    <w:name w:val="样式 样式 ssss + 宋体 五号 + 首行缩进:  2 字符"/>
    <w:basedOn w:val="131"/>
    <w:autoRedefine/>
    <w:qFormat/>
    <w:uiPriority w:val="0"/>
    <w:pPr>
      <w:ind w:firstLine="480"/>
    </w:pPr>
  </w:style>
  <w:style w:type="paragraph" w:customStyle="1" w:styleId="131">
    <w:name w:val="样式 ssss + 宋体 五号"/>
    <w:basedOn w:val="111"/>
    <w:autoRedefine/>
    <w:qFormat/>
    <w:uiPriority w:val="0"/>
    <w:pPr>
      <w:ind w:firstLine="420"/>
    </w:pPr>
    <w:rPr>
      <w:rFonts w:ascii="宋体" w:hAnsi="宋体" w:cs="宋体"/>
      <w:szCs w:val="20"/>
    </w:rPr>
  </w:style>
  <w:style w:type="paragraph" w:customStyle="1" w:styleId="132">
    <w:name w:val="msonormalcxsplas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3">
    <w:name w:val="Char"/>
    <w:basedOn w:val="1"/>
    <w:autoRedefine/>
    <w:qFormat/>
    <w:uiPriority w:val="0"/>
    <w:rPr>
      <w:rFonts w:ascii="Tahoma" w:hAnsi="Tahoma"/>
      <w:sz w:val="24"/>
      <w:szCs w:val="20"/>
    </w:rPr>
  </w:style>
  <w:style w:type="paragraph" w:customStyle="1" w:styleId="134">
    <w:name w:val="xl25"/>
    <w:basedOn w:val="1"/>
    <w:autoRedefine/>
    <w:qFormat/>
    <w:uiPriority w:val="0"/>
    <w:pPr>
      <w:widowControl/>
      <w:pBdr>
        <w:bottom w:val="single" w:color="auto" w:sz="4" w:space="0"/>
        <w:right w:val="single" w:color="auto" w:sz="4" w:space="0"/>
      </w:pBdr>
      <w:spacing w:before="100" w:beforeAutospacing="1" w:after="100" w:afterAutospacing="1"/>
    </w:pPr>
    <w:rPr>
      <w:rFonts w:hint="eastAsia" w:ascii="华文细黑" w:hAnsi="华文细黑" w:eastAsia="华文细黑"/>
      <w:kern w:val="0"/>
      <w:sz w:val="18"/>
      <w:szCs w:val="18"/>
    </w:rPr>
  </w:style>
  <w:style w:type="paragraph" w:customStyle="1" w:styleId="135">
    <w:name w:val="标题------4"/>
    <w:basedOn w:val="6"/>
    <w:autoRedefine/>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36">
    <w:name w:val="msonormalcxspmidd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7">
    <w:name w:val="Char Char Char Char Char Char Char Char Char Char Char Char Char1"/>
    <w:basedOn w:val="1"/>
    <w:autoRedefine/>
    <w:qFormat/>
    <w:uiPriority w:val="0"/>
    <w:rPr>
      <w:sz w:val="24"/>
    </w:rPr>
  </w:style>
  <w:style w:type="paragraph" w:customStyle="1" w:styleId="138">
    <w:name w:val="表格"/>
    <w:basedOn w:val="1"/>
    <w:autoRedefine/>
    <w:qFormat/>
    <w:uiPriority w:val="0"/>
    <w:rPr>
      <w:rFonts w:ascii="Arial" w:hAnsi="Arial"/>
      <w:sz w:val="24"/>
    </w:rPr>
  </w:style>
  <w:style w:type="paragraph" w:customStyle="1" w:styleId="139">
    <w:name w:val="正文样式1"/>
    <w:basedOn w:val="1"/>
    <w:autoRedefine/>
    <w:qFormat/>
    <w:uiPriority w:val="0"/>
    <w:pPr>
      <w:spacing w:before="120" w:after="120" w:line="360" w:lineRule="auto"/>
      <w:ind w:firstLine="480" w:firstLineChars="200"/>
    </w:pPr>
    <w:rPr>
      <w:sz w:val="24"/>
      <w:szCs w:val="20"/>
    </w:rPr>
  </w:style>
  <w:style w:type="paragraph" w:customStyle="1" w:styleId="140">
    <w:name w:val="Char Char1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1">
    <w:name w:val="Char Char Char Char Char Char Char Char Char Char"/>
    <w:basedOn w:val="1"/>
    <w:autoRedefine/>
    <w:qFormat/>
    <w:uiPriority w:val="0"/>
    <w:rPr>
      <w:rFonts w:ascii="Tahoma" w:hAnsi="Tahoma"/>
      <w:sz w:val="24"/>
      <w:szCs w:val="20"/>
    </w:rPr>
  </w:style>
  <w:style w:type="paragraph" w:customStyle="1" w:styleId="142">
    <w:name w:val="Char11"/>
    <w:basedOn w:val="1"/>
    <w:autoRedefine/>
    <w:qFormat/>
    <w:uiPriority w:val="0"/>
    <w:pPr>
      <w:tabs>
        <w:tab w:val="left" w:pos="360"/>
      </w:tabs>
    </w:pPr>
    <w:rPr>
      <w:sz w:val="24"/>
    </w:rPr>
  </w:style>
  <w:style w:type="paragraph" w:customStyle="1" w:styleId="143">
    <w:name w:val="标题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144">
    <w:name w:val="Header2"/>
    <w:basedOn w:val="1"/>
    <w:autoRedefine/>
    <w:qFormat/>
    <w:uiPriority w:val="0"/>
    <w:pPr>
      <w:numPr>
        <w:ilvl w:val="0"/>
        <w:numId w:val="1"/>
      </w:numPr>
    </w:pPr>
  </w:style>
  <w:style w:type="paragraph" w:customStyle="1" w:styleId="145">
    <w:name w:val="Char Char 字元 字元 字元 Char Char Char Char"/>
    <w:basedOn w:val="1"/>
    <w:autoRedefine/>
    <w:qFormat/>
    <w:uiPriority w:val="0"/>
    <w:pPr>
      <w:adjustRightInd w:val="0"/>
      <w:spacing w:line="360" w:lineRule="auto"/>
    </w:pPr>
    <w:rPr>
      <w:kern w:val="0"/>
      <w:sz w:val="24"/>
      <w:szCs w:val="20"/>
    </w:rPr>
  </w:style>
  <w:style w:type="paragraph" w:customStyle="1" w:styleId="146">
    <w:name w:val="2cxspmidd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47">
    <w:name w:val="正文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149">
    <w:name w:val="网格型1"/>
    <w:basedOn w:val="51"/>
    <w:autoRedefine/>
    <w:qFormat/>
    <w:uiPriority w:val="9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0">
    <w:name w:val="标题 1 Char1"/>
    <w:autoRedefine/>
    <w:qFormat/>
    <w:uiPriority w:val="0"/>
    <w:rPr>
      <w:rFonts w:ascii="Times New Roman" w:hAnsi="Times New Roman" w:eastAsia="宋体" w:cs="Times New Roman"/>
      <w:b/>
      <w:bCs/>
      <w:kern w:val="44"/>
      <w:sz w:val="44"/>
      <w:szCs w:val="44"/>
    </w:rPr>
  </w:style>
  <w:style w:type="character" w:customStyle="1" w:styleId="151">
    <w:name w:val="标题 2 Char1"/>
    <w:autoRedefine/>
    <w:qFormat/>
    <w:uiPriority w:val="0"/>
    <w:rPr>
      <w:rFonts w:ascii="Arial" w:hAnsi="Arial" w:eastAsia="黑体" w:cs="Times New Roman"/>
      <w:b/>
      <w:bCs/>
      <w:sz w:val="32"/>
      <w:szCs w:val="32"/>
    </w:rPr>
  </w:style>
  <w:style w:type="character" w:customStyle="1" w:styleId="152">
    <w:name w:val="标题 3 Char1"/>
    <w:autoRedefine/>
    <w:qFormat/>
    <w:uiPriority w:val="0"/>
    <w:rPr>
      <w:rFonts w:ascii="Times New Roman" w:hAnsi="Times New Roman" w:eastAsia="宋体" w:cs="Times New Roman"/>
      <w:b/>
      <w:bCs/>
      <w:sz w:val="32"/>
      <w:szCs w:val="32"/>
    </w:rPr>
  </w:style>
  <w:style w:type="character" w:customStyle="1" w:styleId="153">
    <w:name w:val="标题 4 Char2"/>
    <w:autoRedefine/>
    <w:qFormat/>
    <w:uiPriority w:val="0"/>
    <w:rPr>
      <w:rFonts w:ascii="Times New Roman" w:hAnsi="Times New Roman" w:eastAsia="新宋体" w:cs="Times New Roman"/>
      <w:sz w:val="30"/>
      <w:szCs w:val="21"/>
    </w:rPr>
  </w:style>
  <w:style w:type="character" w:customStyle="1" w:styleId="154">
    <w:name w:val="标题 5 Char1"/>
    <w:autoRedefine/>
    <w:qFormat/>
    <w:uiPriority w:val="0"/>
    <w:rPr>
      <w:rFonts w:ascii="Times New Roman" w:hAnsi="Times New Roman" w:eastAsia="宋体" w:cs="Times New Roman"/>
      <w:b/>
      <w:bCs/>
      <w:sz w:val="28"/>
      <w:szCs w:val="28"/>
    </w:rPr>
  </w:style>
  <w:style w:type="character" w:customStyle="1" w:styleId="155">
    <w:name w:val="标题 6 Char1"/>
    <w:autoRedefine/>
    <w:qFormat/>
    <w:uiPriority w:val="0"/>
    <w:rPr>
      <w:rFonts w:ascii="Times New Roman" w:hAnsi="Times New Roman" w:eastAsia="宋体" w:cs="Times New Roman"/>
      <w:b/>
      <w:sz w:val="44"/>
      <w:szCs w:val="20"/>
    </w:rPr>
  </w:style>
  <w:style w:type="character" w:customStyle="1" w:styleId="156">
    <w:name w:val="正文缩进 Char1"/>
    <w:autoRedefine/>
    <w:qFormat/>
    <w:uiPriority w:val="0"/>
    <w:rPr>
      <w:rFonts w:ascii="Times New Roman" w:hAnsi="Times New Roman" w:eastAsia="宋体" w:cs="Times New Roman"/>
      <w:kern w:val="0"/>
      <w:sz w:val="20"/>
      <w:szCs w:val="20"/>
    </w:rPr>
  </w:style>
  <w:style w:type="character" w:customStyle="1" w:styleId="157">
    <w:name w:val="标题 7 Char1"/>
    <w:autoRedefine/>
    <w:qFormat/>
    <w:uiPriority w:val="0"/>
    <w:rPr>
      <w:rFonts w:ascii="Times New Roman" w:hAnsi="Times New Roman" w:eastAsia="宋体" w:cs="Times New Roman"/>
      <w:b/>
      <w:bCs/>
      <w:sz w:val="24"/>
      <w:szCs w:val="24"/>
    </w:rPr>
  </w:style>
  <w:style w:type="character" w:customStyle="1" w:styleId="158">
    <w:name w:val="标题 8 Char1"/>
    <w:autoRedefine/>
    <w:qFormat/>
    <w:uiPriority w:val="0"/>
    <w:rPr>
      <w:rFonts w:ascii="Arial" w:hAnsi="Arial" w:eastAsia="黑体" w:cs="Times New Roman"/>
      <w:sz w:val="24"/>
      <w:szCs w:val="24"/>
    </w:rPr>
  </w:style>
  <w:style w:type="character" w:customStyle="1" w:styleId="159">
    <w:name w:val="标题 9 Char1"/>
    <w:autoRedefine/>
    <w:qFormat/>
    <w:uiPriority w:val="0"/>
    <w:rPr>
      <w:rFonts w:ascii="Arial" w:hAnsi="Arial" w:eastAsia="黑体" w:cs="Times New Roman"/>
      <w:sz w:val="24"/>
      <w:szCs w:val="21"/>
    </w:rPr>
  </w:style>
  <w:style w:type="character" w:customStyle="1" w:styleId="160">
    <w:name w:val="文档结构图 Char2"/>
    <w:autoRedefine/>
    <w:semiHidden/>
    <w:qFormat/>
    <w:uiPriority w:val="0"/>
    <w:rPr>
      <w:szCs w:val="24"/>
      <w:shd w:val="clear" w:color="auto" w:fill="000080"/>
    </w:rPr>
  </w:style>
  <w:style w:type="character" w:customStyle="1" w:styleId="161">
    <w:name w:val="正文文本 3 Char2"/>
    <w:autoRedefine/>
    <w:qFormat/>
    <w:uiPriority w:val="0"/>
    <w:rPr>
      <w:rFonts w:ascii="Times New Roman" w:hAnsi="Times New Roman" w:eastAsia="宋体" w:cs="Times New Roman"/>
      <w:sz w:val="16"/>
      <w:szCs w:val="16"/>
    </w:rPr>
  </w:style>
  <w:style w:type="character" w:customStyle="1" w:styleId="162">
    <w:name w:val="正文文本 Char2"/>
    <w:autoRedefine/>
    <w:qFormat/>
    <w:uiPriority w:val="0"/>
    <w:rPr>
      <w:rFonts w:ascii="仿宋_GB2312" w:hAnsi="Times New Roman" w:eastAsia="仿宋_GB2312" w:cs="Times New Roman"/>
      <w:sz w:val="24"/>
      <w:szCs w:val="20"/>
    </w:rPr>
  </w:style>
  <w:style w:type="character" w:customStyle="1" w:styleId="163">
    <w:name w:val="正文文本缩进 Char2"/>
    <w:autoRedefine/>
    <w:qFormat/>
    <w:uiPriority w:val="0"/>
    <w:rPr>
      <w:rFonts w:ascii="仿宋_GB2312" w:hAnsi="Times New Roman" w:eastAsia="仿宋_GB2312" w:cs="Times New Roman"/>
      <w:sz w:val="28"/>
      <w:szCs w:val="20"/>
    </w:rPr>
  </w:style>
  <w:style w:type="character" w:customStyle="1" w:styleId="164">
    <w:name w:val="纯文本 Char2"/>
    <w:autoRedefine/>
    <w:qFormat/>
    <w:uiPriority w:val="0"/>
    <w:rPr>
      <w:rFonts w:ascii="宋体" w:hAnsi="Courier New" w:eastAsia="宋体" w:cs="Courier New"/>
      <w:szCs w:val="21"/>
    </w:rPr>
  </w:style>
  <w:style w:type="character" w:customStyle="1" w:styleId="165">
    <w:name w:val="日期 Char1"/>
    <w:autoRedefine/>
    <w:qFormat/>
    <w:uiPriority w:val="0"/>
    <w:rPr>
      <w:rFonts w:ascii="Times New Roman" w:hAnsi="Times New Roman" w:eastAsia="宋体" w:cs="Times New Roman"/>
      <w:sz w:val="24"/>
      <w:szCs w:val="20"/>
    </w:rPr>
  </w:style>
  <w:style w:type="character" w:customStyle="1" w:styleId="166">
    <w:name w:val="正文文本缩进 2 Char2"/>
    <w:autoRedefine/>
    <w:qFormat/>
    <w:uiPriority w:val="0"/>
    <w:rPr>
      <w:rFonts w:ascii="Times New Roman" w:hAnsi="Times New Roman" w:eastAsia="仿宋_GB2312" w:cs="Times New Roman"/>
      <w:sz w:val="28"/>
      <w:szCs w:val="20"/>
    </w:rPr>
  </w:style>
  <w:style w:type="character" w:customStyle="1" w:styleId="167">
    <w:name w:val="批注框文本 Char2"/>
    <w:autoRedefine/>
    <w:semiHidden/>
    <w:qFormat/>
    <w:uiPriority w:val="0"/>
    <w:rPr>
      <w:sz w:val="18"/>
      <w:szCs w:val="18"/>
    </w:rPr>
  </w:style>
  <w:style w:type="character" w:customStyle="1" w:styleId="168">
    <w:name w:val="页脚 Char2"/>
    <w:autoRedefine/>
    <w:qFormat/>
    <w:uiPriority w:val="99"/>
    <w:rPr>
      <w:rFonts w:ascii="Times New Roman" w:hAnsi="Times New Roman" w:eastAsia="宋体" w:cs="Times New Roman"/>
      <w:sz w:val="18"/>
      <w:szCs w:val="20"/>
    </w:rPr>
  </w:style>
  <w:style w:type="character" w:customStyle="1" w:styleId="169">
    <w:name w:val="页眉 Char2"/>
    <w:autoRedefine/>
    <w:qFormat/>
    <w:uiPriority w:val="0"/>
    <w:rPr>
      <w:rFonts w:ascii="Times New Roman" w:hAnsi="Times New Roman" w:eastAsia="宋体" w:cs="Times New Roman"/>
      <w:sz w:val="18"/>
      <w:szCs w:val="18"/>
    </w:rPr>
  </w:style>
  <w:style w:type="character" w:customStyle="1" w:styleId="170">
    <w:name w:val="正文文本缩进 3 Char2"/>
    <w:autoRedefine/>
    <w:qFormat/>
    <w:uiPriority w:val="0"/>
    <w:rPr>
      <w:rFonts w:ascii="Times New Roman" w:hAnsi="Times New Roman" w:eastAsia="宋体" w:cs="Times New Roman"/>
      <w:sz w:val="16"/>
      <w:szCs w:val="16"/>
    </w:rPr>
  </w:style>
  <w:style w:type="character" w:customStyle="1" w:styleId="171">
    <w:name w:val="正文文本 2 Char2"/>
    <w:autoRedefine/>
    <w:qFormat/>
    <w:uiPriority w:val="0"/>
    <w:rPr>
      <w:rFonts w:ascii="Times New Roman" w:hAnsi="Times New Roman" w:eastAsia="宋体" w:cs="Times New Roman"/>
      <w:b/>
      <w:bCs/>
      <w:sz w:val="18"/>
      <w:szCs w:val="24"/>
    </w:rPr>
  </w:style>
  <w:style w:type="character" w:customStyle="1" w:styleId="172">
    <w:name w:val="正文首行缩进 Char1"/>
    <w:autoRedefine/>
    <w:qFormat/>
    <w:uiPriority w:val="0"/>
    <w:rPr>
      <w:rFonts w:ascii="Times New Roman" w:hAnsi="Times New Roman" w:eastAsia="宋体" w:cs="Times New Roman"/>
      <w:sz w:val="24"/>
      <w:szCs w:val="24"/>
    </w:rPr>
  </w:style>
  <w:style w:type="character" w:customStyle="1" w:styleId="173">
    <w:name w:val="列出段落 Char1"/>
    <w:autoRedefine/>
    <w:qFormat/>
    <w:locked/>
    <w:uiPriority w:val="99"/>
  </w:style>
  <w:style w:type="character" w:customStyle="1" w:styleId="174">
    <w:name w:val="批注框文本 Char"/>
    <w:autoRedefine/>
    <w:qFormat/>
    <w:uiPriority w:val="99"/>
    <w:rPr>
      <w:rFonts w:ascii="Calibri" w:hAnsi="Calibri" w:eastAsia="宋体" w:cs="Times New Roman"/>
      <w:kern w:val="2"/>
      <w:sz w:val="18"/>
      <w:szCs w:val="18"/>
    </w:rPr>
  </w:style>
  <w:style w:type="character" w:customStyle="1" w:styleId="175">
    <w:name w:val="正文文本 Char"/>
    <w:autoRedefine/>
    <w:qFormat/>
    <w:uiPriority w:val="0"/>
    <w:rPr>
      <w:kern w:val="2"/>
      <w:sz w:val="21"/>
      <w:szCs w:val="24"/>
    </w:rPr>
  </w:style>
  <w:style w:type="character" w:customStyle="1" w:styleId="176">
    <w:name w:val="标题 1 Char"/>
    <w:autoRedefine/>
    <w:qFormat/>
    <w:uiPriority w:val="9"/>
    <w:rPr>
      <w:b/>
      <w:bCs/>
      <w:kern w:val="44"/>
      <w:sz w:val="44"/>
      <w:szCs w:val="44"/>
    </w:rPr>
  </w:style>
  <w:style w:type="character" w:customStyle="1" w:styleId="177">
    <w:name w:val="标题 2 Char"/>
    <w:autoRedefine/>
    <w:qFormat/>
    <w:uiPriority w:val="0"/>
    <w:rPr>
      <w:rFonts w:ascii="Arial" w:hAnsi="Arial" w:eastAsia="黑体"/>
      <w:b/>
      <w:bCs/>
      <w:kern w:val="2"/>
      <w:sz w:val="32"/>
      <w:szCs w:val="32"/>
    </w:rPr>
  </w:style>
  <w:style w:type="character" w:customStyle="1" w:styleId="178">
    <w:name w:val="标题 3 Char"/>
    <w:autoRedefine/>
    <w:qFormat/>
    <w:uiPriority w:val="9"/>
    <w:rPr>
      <w:b/>
      <w:bCs/>
      <w:kern w:val="2"/>
      <w:sz w:val="32"/>
      <w:szCs w:val="32"/>
    </w:rPr>
  </w:style>
  <w:style w:type="character" w:customStyle="1" w:styleId="179">
    <w:name w:val="标题 4 Char"/>
    <w:autoRedefine/>
    <w:qFormat/>
    <w:uiPriority w:val="0"/>
    <w:rPr>
      <w:rFonts w:eastAsia="新宋体"/>
      <w:kern w:val="2"/>
      <w:sz w:val="30"/>
      <w:szCs w:val="21"/>
    </w:rPr>
  </w:style>
  <w:style w:type="character" w:customStyle="1" w:styleId="180">
    <w:name w:val="正文缩进 Char"/>
    <w:autoRedefine/>
    <w:qFormat/>
    <w:uiPriority w:val="0"/>
    <w:rPr>
      <w:kern w:val="2"/>
      <w:sz w:val="21"/>
    </w:rPr>
  </w:style>
  <w:style w:type="character" w:customStyle="1" w:styleId="181">
    <w:name w:val="文档结构图 Char"/>
    <w:autoRedefine/>
    <w:qFormat/>
    <w:uiPriority w:val="0"/>
    <w:rPr>
      <w:kern w:val="2"/>
      <w:sz w:val="21"/>
      <w:szCs w:val="24"/>
      <w:shd w:val="clear" w:color="auto" w:fill="000080"/>
    </w:rPr>
  </w:style>
  <w:style w:type="character" w:customStyle="1" w:styleId="182">
    <w:name w:val="正文文本 3 Char"/>
    <w:autoRedefine/>
    <w:qFormat/>
    <w:uiPriority w:val="0"/>
    <w:rPr>
      <w:kern w:val="2"/>
      <w:sz w:val="16"/>
      <w:szCs w:val="16"/>
    </w:rPr>
  </w:style>
  <w:style w:type="character" w:customStyle="1" w:styleId="183">
    <w:name w:val="正文文本缩进 Char"/>
    <w:autoRedefine/>
    <w:qFormat/>
    <w:uiPriority w:val="0"/>
    <w:rPr>
      <w:kern w:val="2"/>
      <w:sz w:val="21"/>
      <w:szCs w:val="24"/>
    </w:rPr>
  </w:style>
  <w:style w:type="character" w:customStyle="1" w:styleId="184">
    <w:name w:val="日期 Char"/>
    <w:autoRedefine/>
    <w:qFormat/>
    <w:uiPriority w:val="0"/>
    <w:rPr>
      <w:kern w:val="2"/>
      <w:sz w:val="21"/>
      <w:szCs w:val="24"/>
    </w:rPr>
  </w:style>
  <w:style w:type="character" w:customStyle="1" w:styleId="185">
    <w:name w:val="页脚 Char"/>
    <w:autoRedefine/>
    <w:qFormat/>
    <w:uiPriority w:val="99"/>
    <w:rPr>
      <w:kern w:val="2"/>
      <w:sz w:val="18"/>
      <w:szCs w:val="18"/>
    </w:rPr>
  </w:style>
  <w:style w:type="character" w:customStyle="1" w:styleId="186">
    <w:name w:val="页眉 Char"/>
    <w:autoRedefine/>
    <w:qFormat/>
    <w:uiPriority w:val="99"/>
    <w:rPr>
      <w:kern w:val="2"/>
      <w:sz w:val="18"/>
      <w:szCs w:val="18"/>
    </w:rPr>
  </w:style>
  <w:style w:type="character" w:customStyle="1" w:styleId="187">
    <w:name w:val="正文文本缩进 3 Char"/>
    <w:autoRedefine/>
    <w:qFormat/>
    <w:uiPriority w:val="0"/>
    <w:rPr>
      <w:rFonts w:ascii="宋体"/>
      <w:b/>
      <w:spacing w:val="6"/>
      <w:kern w:val="2"/>
      <w:sz w:val="28"/>
      <w:szCs w:val="24"/>
    </w:rPr>
  </w:style>
  <w:style w:type="table" w:customStyle="1" w:styleId="188">
    <w:name w:val="网格型2"/>
    <w:basedOn w:val="51"/>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9">
    <w:name w:val="标题 3.1 Char"/>
    <w:link w:val="190"/>
    <w:autoRedefine/>
    <w:qFormat/>
    <w:locked/>
    <w:uiPriority w:val="0"/>
    <w:rPr>
      <w:rFonts w:ascii="宋体" w:hAnsi="宋体"/>
      <w:b/>
      <w:bCs/>
      <w:color w:val="000000"/>
      <w:kern w:val="2"/>
      <w:sz w:val="32"/>
      <w:szCs w:val="32"/>
    </w:rPr>
  </w:style>
  <w:style w:type="paragraph" w:customStyle="1" w:styleId="190">
    <w:name w:val="标题 3.1"/>
    <w:basedOn w:val="5"/>
    <w:link w:val="189"/>
    <w:autoRedefine/>
    <w:qFormat/>
    <w:uiPriority w:val="0"/>
    <w:pPr>
      <w:tabs>
        <w:tab w:val="left" w:pos="1440"/>
        <w:tab w:val="left" w:pos="1620"/>
      </w:tabs>
      <w:spacing w:line="600" w:lineRule="exact"/>
    </w:pPr>
    <w:rPr>
      <w:rFonts w:ascii="宋体" w:hAnsi="宋体"/>
      <w:color w:val="000000"/>
      <w:kern w:val="2"/>
    </w:rPr>
  </w:style>
  <w:style w:type="paragraph" w:customStyle="1" w:styleId="191">
    <w:name w:val="正文缩进4格"/>
    <w:basedOn w:val="107"/>
    <w:autoRedefine/>
    <w:qFormat/>
    <w:uiPriority w:val="0"/>
    <w:pPr>
      <w:ind w:left="2" w:firstLine="538" w:firstLineChars="192"/>
    </w:pPr>
    <w:rPr>
      <w:color w:val="000000"/>
      <w:kern w:val="2"/>
      <w:sz w:val="28"/>
    </w:rPr>
  </w:style>
  <w:style w:type="paragraph" w:customStyle="1" w:styleId="192">
    <w:name w:val="Char1"/>
    <w:basedOn w:val="1"/>
    <w:autoRedefine/>
    <w:qFormat/>
    <w:uiPriority w:val="0"/>
    <w:pPr>
      <w:tabs>
        <w:tab w:val="left" w:pos="840"/>
      </w:tabs>
      <w:ind w:left="840" w:hanging="420"/>
    </w:pPr>
    <w:rPr>
      <w:sz w:val="24"/>
    </w:rPr>
  </w:style>
  <w:style w:type="paragraph" w:customStyle="1" w:styleId="193">
    <w:name w:val="para"/>
    <w:basedOn w:val="1"/>
    <w:autoRedefine/>
    <w:qFormat/>
    <w:uiPriority w:val="0"/>
    <w:pPr>
      <w:widowControl/>
      <w:spacing w:before="100" w:beforeAutospacing="1" w:after="100" w:afterAutospacing="1"/>
      <w:jc w:val="left"/>
    </w:pPr>
    <w:rPr>
      <w:rFonts w:ascii="Arial" w:hAnsi="Arial" w:cs="Arial"/>
      <w:kern w:val="0"/>
      <w:sz w:val="18"/>
      <w:szCs w:val="18"/>
    </w:rPr>
  </w:style>
  <w:style w:type="character" w:customStyle="1" w:styleId="194">
    <w:name w:val="mini-outputtext1"/>
    <w:autoRedefine/>
    <w:qFormat/>
    <w:uiPriority w:val="0"/>
  </w:style>
  <w:style w:type="character" w:customStyle="1" w:styleId="195">
    <w:name w:val="font31"/>
    <w:autoRedefine/>
    <w:qFormat/>
    <w:uiPriority w:val="0"/>
    <w:rPr>
      <w:rFonts w:hint="eastAsia" w:ascii="宋体" w:hAnsi="宋体" w:eastAsia="宋体" w:cs="宋体"/>
      <w:color w:val="000000"/>
      <w:sz w:val="21"/>
      <w:szCs w:val="21"/>
      <w:u w:val="none"/>
    </w:rPr>
  </w:style>
  <w:style w:type="character" w:customStyle="1" w:styleId="196">
    <w:name w:val="font61"/>
    <w:autoRedefine/>
    <w:qFormat/>
    <w:uiPriority w:val="0"/>
    <w:rPr>
      <w:rFonts w:hint="default" w:ascii="Times New Roman" w:hAnsi="Times New Roman" w:cs="Times New Roman"/>
      <w:color w:val="000000"/>
      <w:sz w:val="21"/>
      <w:szCs w:val="21"/>
      <w:u w:val="none"/>
    </w:rPr>
  </w:style>
  <w:style w:type="character" w:customStyle="1" w:styleId="197">
    <w:name w:val="font01"/>
    <w:autoRedefine/>
    <w:qFormat/>
    <w:uiPriority w:val="0"/>
    <w:rPr>
      <w:rFonts w:hint="default" w:ascii="等线" w:hAnsi="等线" w:eastAsia="等线" w:cs="等线"/>
      <w:color w:val="000000"/>
      <w:sz w:val="22"/>
      <w:szCs w:val="22"/>
      <w:u w:val="none"/>
    </w:rPr>
  </w:style>
  <w:style w:type="character" w:customStyle="1" w:styleId="198">
    <w:name w:val="font51"/>
    <w:autoRedefine/>
    <w:qFormat/>
    <w:uiPriority w:val="0"/>
    <w:rPr>
      <w:rFonts w:hint="default" w:ascii="等线" w:hAnsi="等线" w:eastAsia="等线" w:cs="等线"/>
      <w:b/>
      <w:bCs/>
      <w:color w:val="000000"/>
      <w:sz w:val="22"/>
      <w:szCs w:val="22"/>
      <w:u w:val="none"/>
    </w:rPr>
  </w:style>
  <w:style w:type="paragraph" w:customStyle="1" w:styleId="199">
    <w:name w:val="普通(网站) Char"/>
    <w:basedOn w:val="1"/>
    <w:autoRedefine/>
    <w:qFormat/>
    <w:uiPriority w:val="0"/>
    <w:pPr>
      <w:widowControl/>
      <w:spacing w:before="100" w:beforeAutospacing="1" w:after="100" w:afterAutospacing="1"/>
      <w:jc w:val="left"/>
    </w:pPr>
    <w:rPr>
      <w:rFonts w:hint="eastAsia" w:ascii="宋体" w:hAnsi="宋体"/>
      <w:kern w:val="0"/>
      <w:sz w:val="24"/>
    </w:rPr>
  </w:style>
  <w:style w:type="character" w:customStyle="1" w:styleId="200">
    <w:name w:val="fontstyle01"/>
    <w:autoRedefine/>
    <w:qFormat/>
    <w:uiPriority w:val="0"/>
    <w:rPr>
      <w:rFonts w:hint="eastAsia" w:ascii="宋体" w:hAnsi="宋体" w:eastAsia="宋体"/>
      <w:color w:val="000000"/>
      <w:sz w:val="22"/>
      <w:szCs w:val="22"/>
    </w:rPr>
  </w:style>
  <w:style w:type="character" w:customStyle="1" w:styleId="201">
    <w:name w:val="_Style 198"/>
    <w:autoRedefine/>
    <w:unhideWhenUsed/>
    <w:qFormat/>
    <w:uiPriority w:val="99"/>
    <w:rPr>
      <w:color w:val="605E5C"/>
      <w:shd w:val="clear" w:color="auto" w:fill="E1DFDD"/>
    </w:rPr>
  </w:style>
  <w:style w:type="paragraph" w:customStyle="1" w:styleId="202">
    <w:name w:val="正文（缩进）"/>
    <w:basedOn w:val="1"/>
    <w:autoRedefine/>
    <w:qFormat/>
    <w:uiPriority w:val="0"/>
    <w:pPr>
      <w:spacing w:before="156" w:after="156"/>
      <w:ind w:firstLine="480" w:firstLineChars="200"/>
    </w:pPr>
  </w:style>
  <w:style w:type="paragraph" w:customStyle="1" w:styleId="203">
    <w:name w:val="标书正文"/>
    <w:autoRedefine/>
    <w:qFormat/>
    <w:uiPriority w:val="0"/>
    <w:pPr>
      <w:widowControl w:val="0"/>
      <w:spacing w:line="400" w:lineRule="exact"/>
      <w:jc w:val="both"/>
    </w:pPr>
    <w:rPr>
      <w:rFonts w:ascii="Times New Roman" w:hAnsi="Times New Roman" w:eastAsia="宋体" w:cs="Times New Roman"/>
      <w:kern w:val="2"/>
      <w:sz w:val="24"/>
      <w:szCs w:val="22"/>
      <w:lang w:val="en-US" w:eastAsia="zh-CN" w:bidi="ar-SA"/>
    </w:rPr>
  </w:style>
  <w:style w:type="paragraph" w:customStyle="1" w:styleId="204">
    <w:name w:val="！正文"/>
    <w:autoRedefine/>
    <w:qFormat/>
    <w:uiPriority w:val="0"/>
    <w:pPr>
      <w:ind w:firstLine="480"/>
    </w:pPr>
    <w:rPr>
      <w:rFonts w:ascii="Times New Roman" w:hAnsi="Times New Roman" w:eastAsia="宋体" w:cs="Times New Roman"/>
      <w:sz w:val="21"/>
      <w:lang w:val="en-US" w:eastAsia="zh-CN" w:bidi="ar-SA"/>
    </w:rPr>
  </w:style>
  <w:style w:type="paragraph" w:customStyle="1" w:styleId="205">
    <w:name w:val="列出段落1"/>
    <w:link w:val="206"/>
    <w:autoRedefine/>
    <w:qFormat/>
    <w:uiPriority w:val="0"/>
    <w:pPr>
      <w:widowControl w:val="0"/>
      <w:ind w:firstLine="420"/>
      <w:jc w:val="both"/>
    </w:pPr>
    <w:rPr>
      <w:rFonts w:ascii="Times New Roman" w:hAnsi="Times New Roman" w:eastAsia="宋体" w:cs="Times New Roman"/>
      <w:kern w:val="2"/>
      <w:sz w:val="21"/>
      <w:szCs w:val="24"/>
      <w:lang w:val="en-US" w:eastAsia="zh-CN" w:bidi="ar-SA"/>
    </w:rPr>
  </w:style>
  <w:style w:type="character" w:customStyle="1" w:styleId="206">
    <w:name w:val="列出段落 Char"/>
    <w:link w:val="205"/>
    <w:autoRedefine/>
    <w:qFormat/>
    <w:locked/>
    <w:uiPriority w:val="0"/>
    <w:rPr>
      <w:kern w:val="2"/>
      <w:sz w:val="21"/>
      <w:szCs w:val="24"/>
    </w:rPr>
  </w:style>
  <w:style w:type="character" w:customStyle="1" w:styleId="207">
    <w:name w:val="font71"/>
    <w:autoRedefine/>
    <w:qFormat/>
    <w:uiPriority w:val="0"/>
    <w:rPr>
      <w:rFonts w:hint="eastAsia" w:ascii="宋体" w:hAnsi="宋体" w:eastAsia="宋体" w:cs="宋体"/>
      <w:color w:val="000000"/>
      <w:sz w:val="21"/>
      <w:szCs w:val="21"/>
      <w:u w:val="none"/>
    </w:rPr>
  </w:style>
  <w:style w:type="paragraph" w:customStyle="1" w:styleId="208">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209">
    <w:name w:val="标题 5 Char"/>
    <w:autoRedefine/>
    <w:qFormat/>
    <w:uiPriority w:val="0"/>
    <w:rPr>
      <w:rFonts w:ascii="宋体"/>
      <w:color w:val="000000"/>
      <w:sz w:val="28"/>
      <w:szCs w:val="28"/>
    </w:rPr>
  </w:style>
  <w:style w:type="character" w:customStyle="1" w:styleId="210">
    <w:name w:val="标题 6 Char"/>
    <w:autoRedefine/>
    <w:qFormat/>
    <w:uiPriority w:val="0"/>
    <w:rPr>
      <w:rFonts w:ascii="Arial" w:hAnsi="Arial" w:eastAsia="黑体"/>
      <w:b/>
      <w:bCs/>
      <w:kern w:val="2"/>
      <w:sz w:val="24"/>
      <w:szCs w:val="24"/>
    </w:rPr>
  </w:style>
  <w:style w:type="character" w:customStyle="1" w:styleId="211">
    <w:name w:val="标题 7 Char"/>
    <w:autoRedefine/>
    <w:qFormat/>
    <w:uiPriority w:val="0"/>
    <w:rPr>
      <w:b/>
      <w:bCs/>
      <w:kern w:val="2"/>
      <w:sz w:val="24"/>
      <w:szCs w:val="24"/>
    </w:rPr>
  </w:style>
  <w:style w:type="character" w:customStyle="1" w:styleId="212">
    <w:name w:val="标题 8 Char"/>
    <w:autoRedefine/>
    <w:qFormat/>
    <w:uiPriority w:val="0"/>
    <w:rPr>
      <w:rFonts w:ascii="Arial" w:hAnsi="Arial" w:eastAsia="黑体"/>
      <w:kern w:val="2"/>
      <w:sz w:val="24"/>
      <w:szCs w:val="24"/>
    </w:rPr>
  </w:style>
  <w:style w:type="character" w:customStyle="1" w:styleId="213">
    <w:name w:val="标题 9 Char"/>
    <w:autoRedefine/>
    <w:qFormat/>
    <w:uiPriority w:val="0"/>
    <w:rPr>
      <w:rFonts w:ascii="Arial" w:hAnsi="Arial" w:eastAsia="黑体"/>
      <w:kern w:val="2"/>
      <w:sz w:val="21"/>
      <w:szCs w:val="21"/>
    </w:rPr>
  </w:style>
  <w:style w:type="character" w:customStyle="1" w:styleId="214">
    <w:name w:val="纯文本 Char"/>
    <w:autoRedefine/>
    <w:qFormat/>
    <w:uiPriority w:val="0"/>
    <w:rPr>
      <w:rFonts w:ascii="宋体" w:hAnsi="Courier New" w:cs="Courier New"/>
      <w:kern w:val="2"/>
      <w:sz w:val="21"/>
      <w:szCs w:val="21"/>
    </w:rPr>
  </w:style>
  <w:style w:type="character" w:customStyle="1" w:styleId="215">
    <w:name w:val="正文文本缩进 2 Char"/>
    <w:autoRedefine/>
    <w:qFormat/>
    <w:uiPriority w:val="0"/>
    <w:rPr>
      <w:kern w:val="2"/>
      <w:sz w:val="21"/>
      <w:szCs w:val="24"/>
    </w:rPr>
  </w:style>
  <w:style w:type="character" w:customStyle="1" w:styleId="216">
    <w:name w:val="正文文本 2 Char"/>
    <w:autoRedefine/>
    <w:qFormat/>
    <w:uiPriority w:val="0"/>
    <w:rPr>
      <w:rFonts w:ascii="楷体_GB2312" w:eastAsia="楷体_GB2312"/>
      <w:kern w:val="2"/>
      <w:sz w:val="28"/>
      <w:szCs w:val="28"/>
    </w:rPr>
  </w:style>
  <w:style w:type="character" w:customStyle="1" w:styleId="217">
    <w:name w:val="正文首行缩进 Char"/>
    <w:autoRedefine/>
    <w:qFormat/>
    <w:uiPriority w:val="0"/>
    <w:rPr>
      <w:rFonts w:ascii="仿宋_GB2312" w:eastAsia="仿宋_GB2312"/>
      <w:kern w:val="2"/>
      <w:sz w:val="30"/>
      <w:szCs w:val="30"/>
    </w:rPr>
  </w:style>
  <w:style w:type="character" w:customStyle="1" w:styleId="218">
    <w:name w:val="标题 3 Char Char"/>
    <w:autoRedefine/>
    <w:qFormat/>
    <w:uiPriority w:val="0"/>
    <w:rPr>
      <w:rFonts w:ascii="黑体" w:hAnsi="宋体" w:eastAsia="黑体"/>
      <w:bCs/>
      <w:kern w:val="2"/>
      <w:sz w:val="28"/>
      <w:szCs w:val="28"/>
    </w:rPr>
  </w:style>
  <w:style w:type="character" w:customStyle="1" w:styleId="219">
    <w:name w:val="_Style 216"/>
    <w:autoRedefine/>
    <w:qFormat/>
    <w:uiPriority w:val="0"/>
    <w:rPr>
      <w:b/>
      <w:bCs/>
      <w:smallCaps/>
      <w:spacing w:val="5"/>
    </w:rPr>
  </w:style>
  <w:style w:type="character" w:customStyle="1" w:styleId="220">
    <w:name w:val="Char Char7"/>
    <w:autoRedefine/>
    <w:qFormat/>
    <w:uiPriority w:val="0"/>
    <w:rPr>
      <w:rFonts w:ascii="Arial" w:hAnsi="Arial" w:eastAsia="黑体"/>
      <w:b/>
      <w:bCs/>
      <w:kern w:val="2"/>
      <w:sz w:val="32"/>
      <w:szCs w:val="32"/>
      <w:lang w:val="en-US" w:eastAsia="zh-CN" w:bidi="ar-SA"/>
    </w:rPr>
  </w:style>
  <w:style w:type="character" w:customStyle="1" w:styleId="221">
    <w:name w:val="正文文本缩进 3 Char1"/>
    <w:autoRedefine/>
    <w:semiHidden/>
    <w:qFormat/>
    <w:uiPriority w:val="0"/>
    <w:rPr>
      <w:kern w:val="2"/>
      <w:sz w:val="16"/>
      <w:szCs w:val="16"/>
    </w:rPr>
  </w:style>
  <w:style w:type="character" w:customStyle="1" w:styleId="222">
    <w:name w:val="mini-tree-nodetext1"/>
    <w:autoRedefine/>
    <w:qFormat/>
    <w:uiPriority w:val="0"/>
  </w:style>
  <w:style w:type="character" w:customStyle="1" w:styleId="223">
    <w:name w:val="标题 Char1"/>
    <w:autoRedefine/>
    <w:qFormat/>
    <w:uiPriority w:val="0"/>
    <w:rPr>
      <w:rFonts w:ascii="Cambria" w:hAnsi="Cambria" w:cs="Times New Roman"/>
      <w:b/>
      <w:bCs/>
      <w:kern w:val="2"/>
      <w:sz w:val="32"/>
      <w:szCs w:val="32"/>
    </w:rPr>
  </w:style>
  <w:style w:type="character" w:customStyle="1" w:styleId="224">
    <w:name w:val="明显引用 Char"/>
    <w:link w:val="225"/>
    <w:autoRedefine/>
    <w:qFormat/>
    <w:uiPriority w:val="0"/>
    <w:rPr>
      <w:b/>
      <w:bCs/>
      <w:i/>
      <w:iCs/>
      <w:color w:val="4F81BD"/>
      <w:kern w:val="2"/>
      <w:sz w:val="21"/>
      <w:szCs w:val="24"/>
    </w:rPr>
  </w:style>
  <w:style w:type="paragraph" w:styleId="225">
    <w:name w:val="Intense Quote"/>
    <w:basedOn w:val="1"/>
    <w:next w:val="1"/>
    <w:link w:val="224"/>
    <w:autoRedefine/>
    <w:qFormat/>
    <w:uiPriority w:val="0"/>
    <w:pPr>
      <w:pBdr>
        <w:bottom w:val="single" w:color="4F81BD" w:sz="4" w:space="4"/>
      </w:pBdr>
      <w:spacing w:before="200" w:after="280"/>
      <w:ind w:left="936" w:right="936"/>
    </w:pPr>
    <w:rPr>
      <w:b/>
      <w:bCs/>
      <w:i/>
      <w:iCs/>
      <w:color w:val="4F81BD"/>
    </w:rPr>
  </w:style>
  <w:style w:type="character" w:customStyle="1" w:styleId="226">
    <w:name w:val="明显引用 Char1"/>
    <w:autoRedefine/>
    <w:qFormat/>
    <w:uiPriority w:val="0"/>
    <w:rPr>
      <w:b/>
      <w:bCs/>
      <w:i/>
      <w:iCs/>
      <w:color w:val="4F81BD"/>
      <w:kern w:val="2"/>
      <w:sz w:val="21"/>
      <w:szCs w:val="24"/>
    </w:rPr>
  </w:style>
  <w:style w:type="character" w:customStyle="1" w:styleId="227">
    <w:name w:val="批注文字 Char1"/>
    <w:autoRedefine/>
    <w:semiHidden/>
    <w:qFormat/>
    <w:uiPriority w:val="0"/>
    <w:rPr>
      <w:kern w:val="2"/>
      <w:sz w:val="21"/>
      <w:szCs w:val="21"/>
    </w:rPr>
  </w:style>
  <w:style w:type="character" w:customStyle="1" w:styleId="228">
    <w:name w:val="页眉 Char Char"/>
    <w:autoRedefine/>
    <w:qFormat/>
    <w:uiPriority w:val="0"/>
    <w:rPr>
      <w:kern w:val="2"/>
      <w:sz w:val="18"/>
    </w:rPr>
  </w:style>
  <w:style w:type="character" w:customStyle="1" w:styleId="229">
    <w:name w:val="二级目录 Char"/>
    <w:link w:val="230"/>
    <w:autoRedefine/>
    <w:qFormat/>
    <w:uiPriority w:val="0"/>
    <w:rPr>
      <w:b/>
      <w:kern w:val="2"/>
      <w:sz w:val="30"/>
      <w:szCs w:val="28"/>
    </w:rPr>
  </w:style>
  <w:style w:type="paragraph" w:customStyle="1" w:styleId="230">
    <w:name w:val="二级目录"/>
    <w:next w:val="1"/>
    <w:link w:val="229"/>
    <w:autoRedefine/>
    <w:qFormat/>
    <w:uiPriority w:val="0"/>
    <w:pPr>
      <w:tabs>
        <w:tab w:val="left" w:pos="907"/>
        <w:tab w:val="left" w:pos="1145"/>
      </w:tabs>
      <w:outlineLvl w:val="1"/>
    </w:pPr>
    <w:rPr>
      <w:rFonts w:ascii="Times New Roman" w:hAnsi="Times New Roman" w:eastAsia="宋体" w:cs="Times New Roman"/>
      <w:b/>
      <w:kern w:val="2"/>
      <w:sz w:val="30"/>
      <w:szCs w:val="28"/>
      <w:lang w:val="en-US" w:eastAsia="zh-CN" w:bidi="ar-SA"/>
    </w:rPr>
  </w:style>
  <w:style w:type="character" w:customStyle="1" w:styleId="231">
    <w:name w:val="页脚 Char1"/>
    <w:autoRedefine/>
    <w:semiHidden/>
    <w:qFormat/>
    <w:uiPriority w:val="99"/>
    <w:rPr>
      <w:kern w:val="2"/>
      <w:sz w:val="18"/>
      <w:szCs w:val="18"/>
    </w:rPr>
  </w:style>
  <w:style w:type="character" w:customStyle="1" w:styleId="232">
    <w:name w:val="纯文本 Char1"/>
    <w:autoRedefine/>
    <w:semiHidden/>
    <w:qFormat/>
    <w:uiPriority w:val="0"/>
    <w:rPr>
      <w:rFonts w:ascii="宋体" w:hAnsi="Courier New" w:cs="Courier New"/>
      <w:kern w:val="2"/>
      <w:sz w:val="21"/>
      <w:szCs w:val="21"/>
    </w:rPr>
  </w:style>
  <w:style w:type="character" w:customStyle="1" w:styleId="233">
    <w:name w:val="_Style 230"/>
    <w:autoRedefine/>
    <w:qFormat/>
    <w:uiPriority w:val="0"/>
    <w:rPr>
      <w:b/>
      <w:bCs/>
      <w:i/>
      <w:iCs/>
      <w:color w:val="4F81BD"/>
    </w:rPr>
  </w:style>
  <w:style w:type="character" w:customStyle="1" w:styleId="234">
    <w:name w:val="_Style 231"/>
    <w:autoRedefine/>
    <w:qFormat/>
    <w:uiPriority w:val="0"/>
    <w:rPr>
      <w:b/>
      <w:bCs/>
      <w:smallCaps/>
      <w:color w:val="C0504D"/>
      <w:spacing w:val="5"/>
      <w:u w:val="single"/>
    </w:rPr>
  </w:style>
  <w:style w:type="character" w:customStyle="1" w:styleId="235">
    <w:name w:val="正文文本缩进 Char1"/>
    <w:autoRedefine/>
    <w:semiHidden/>
    <w:qFormat/>
    <w:uiPriority w:val="0"/>
    <w:rPr>
      <w:kern w:val="2"/>
      <w:sz w:val="21"/>
      <w:szCs w:val="21"/>
    </w:rPr>
  </w:style>
  <w:style w:type="character" w:customStyle="1" w:styleId="236">
    <w:name w:val="font161"/>
    <w:autoRedefine/>
    <w:qFormat/>
    <w:uiPriority w:val="0"/>
    <w:rPr>
      <w:b/>
      <w:bCs/>
      <w:sz w:val="32"/>
      <w:szCs w:val="32"/>
    </w:rPr>
  </w:style>
  <w:style w:type="character" w:customStyle="1" w:styleId="237">
    <w:name w:val="无间隔 Char"/>
    <w:link w:val="238"/>
    <w:autoRedefine/>
    <w:qFormat/>
    <w:uiPriority w:val="0"/>
    <w:rPr>
      <w:kern w:val="2"/>
      <w:sz w:val="21"/>
      <w:szCs w:val="24"/>
    </w:rPr>
  </w:style>
  <w:style w:type="paragraph" w:styleId="238">
    <w:name w:val="No Spacing"/>
    <w:link w:val="237"/>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39">
    <w:name w:val="正文文本 Char1"/>
    <w:autoRedefine/>
    <w:semiHidden/>
    <w:qFormat/>
    <w:uiPriority w:val="0"/>
    <w:rPr>
      <w:kern w:val="2"/>
      <w:sz w:val="21"/>
      <w:szCs w:val="21"/>
    </w:rPr>
  </w:style>
  <w:style w:type="character" w:customStyle="1" w:styleId="240">
    <w:name w:val="Char Char2"/>
    <w:autoRedefine/>
    <w:qFormat/>
    <w:uiPriority w:val="0"/>
    <w:rPr>
      <w:rFonts w:eastAsia="宋体"/>
      <w:kern w:val="2"/>
      <w:sz w:val="21"/>
      <w:szCs w:val="24"/>
      <w:lang w:val="en-US" w:eastAsia="zh-CN" w:bidi="ar-SA"/>
    </w:rPr>
  </w:style>
  <w:style w:type="character" w:customStyle="1" w:styleId="241">
    <w:name w:val="页脚 Char Char"/>
    <w:autoRedefine/>
    <w:qFormat/>
    <w:uiPriority w:val="0"/>
    <w:rPr>
      <w:kern w:val="2"/>
      <w:sz w:val="18"/>
    </w:rPr>
  </w:style>
  <w:style w:type="character" w:customStyle="1" w:styleId="242">
    <w:name w:val="副标题 Char1"/>
    <w:autoRedefine/>
    <w:qFormat/>
    <w:uiPriority w:val="0"/>
    <w:rPr>
      <w:rFonts w:ascii="Cambria" w:hAnsi="Cambria" w:cs="Times New Roman"/>
      <w:b/>
      <w:bCs/>
      <w:kern w:val="28"/>
      <w:sz w:val="32"/>
      <w:szCs w:val="32"/>
    </w:rPr>
  </w:style>
  <w:style w:type="character" w:customStyle="1" w:styleId="243">
    <w:name w:val="明显引用 Char2"/>
    <w:autoRedefine/>
    <w:qFormat/>
    <w:uiPriority w:val="30"/>
    <w:rPr>
      <w:b/>
      <w:bCs/>
      <w:i/>
      <w:iCs/>
      <w:color w:val="4F81BD"/>
      <w:kern w:val="2"/>
      <w:sz w:val="21"/>
      <w:szCs w:val="21"/>
    </w:rPr>
  </w:style>
  <w:style w:type="character" w:customStyle="1" w:styleId="244">
    <w:name w:val="正文文本 3 Char1"/>
    <w:autoRedefine/>
    <w:semiHidden/>
    <w:qFormat/>
    <w:uiPriority w:val="0"/>
    <w:rPr>
      <w:kern w:val="2"/>
      <w:sz w:val="16"/>
      <w:szCs w:val="16"/>
    </w:rPr>
  </w:style>
  <w:style w:type="character" w:customStyle="1" w:styleId="245">
    <w:name w:val="正文缩进2格 Char Char"/>
    <w:autoRedefine/>
    <w:qFormat/>
    <w:uiPriority w:val="0"/>
    <w:rPr>
      <w:rFonts w:ascii="仿宋_GB2312" w:hAnsi="宋体" w:eastAsia="仿宋_GB2312"/>
      <w:kern w:val="2"/>
      <w:sz w:val="31"/>
      <w:szCs w:val="28"/>
    </w:rPr>
  </w:style>
  <w:style w:type="character" w:customStyle="1" w:styleId="246">
    <w:name w:val="脚注文本 Char1"/>
    <w:autoRedefine/>
    <w:qFormat/>
    <w:uiPriority w:val="0"/>
    <w:rPr>
      <w:kern w:val="2"/>
      <w:sz w:val="18"/>
      <w:szCs w:val="18"/>
    </w:rPr>
  </w:style>
  <w:style w:type="character" w:customStyle="1" w:styleId="247">
    <w:name w:val="引用 Char1"/>
    <w:autoRedefine/>
    <w:qFormat/>
    <w:uiPriority w:val="0"/>
    <w:rPr>
      <w:i/>
      <w:iCs/>
      <w:color w:val="000000"/>
      <w:kern w:val="2"/>
      <w:sz w:val="21"/>
      <w:szCs w:val="21"/>
    </w:rPr>
  </w:style>
  <w:style w:type="character" w:customStyle="1" w:styleId="248">
    <w:name w:val="正文文本 2 Char1"/>
    <w:autoRedefine/>
    <w:semiHidden/>
    <w:qFormat/>
    <w:uiPriority w:val="0"/>
    <w:rPr>
      <w:kern w:val="2"/>
      <w:sz w:val="21"/>
      <w:szCs w:val="21"/>
    </w:rPr>
  </w:style>
  <w:style w:type="character" w:customStyle="1" w:styleId="249">
    <w:name w:val="批注文字 Char Char"/>
    <w:autoRedefine/>
    <w:qFormat/>
    <w:uiPriority w:val="0"/>
    <w:rPr>
      <w:rFonts w:eastAsia="宋体"/>
      <w:kern w:val="2"/>
      <w:sz w:val="21"/>
      <w:szCs w:val="24"/>
      <w:lang w:val="en-US" w:eastAsia="zh-CN" w:bidi="ar-SA"/>
    </w:rPr>
  </w:style>
  <w:style w:type="character" w:customStyle="1" w:styleId="250">
    <w:name w:val="引用 Char2"/>
    <w:autoRedefine/>
    <w:qFormat/>
    <w:uiPriority w:val="29"/>
    <w:rPr>
      <w:i/>
      <w:iCs/>
      <w:color w:val="000000"/>
      <w:kern w:val="2"/>
      <w:sz w:val="21"/>
      <w:szCs w:val="21"/>
    </w:rPr>
  </w:style>
  <w:style w:type="character" w:customStyle="1" w:styleId="251">
    <w:name w:val="标题 Char2"/>
    <w:autoRedefine/>
    <w:qFormat/>
    <w:uiPriority w:val="10"/>
    <w:rPr>
      <w:rFonts w:ascii="Cambria" w:hAnsi="Cambria" w:cs="Times New Roman"/>
      <w:b/>
      <w:bCs/>
      <w:kern w:val="2"/>
      <w:sz w:val="32"/>
      <w:szCs w:val="32"/>
    </w:rPr>
  </w:style>
  <w:style w:type="character" w:customStyle="1" w:styleId="252">
    <w:name w:val="Char Char21"/>
    <w:autoRedefine/>
    <w:qFormat/>
    <w:uiPriority w:val="0"/>
    <w:rPr>
      <w:rFonts w:eastAsia="宋体"/>
      <w:kern w:val="2"/>
      <w:sz w:val="21"/>
      <w:szCs w:val="24"/>
      <w:lang w:val="en-US" w:eastAsia="zh-CN" w:bidi="ar-SA"/>
    </w:rPr>
  </w:style>
  <w:style w:type="character" w:customStyle="1" w:styleId="253">
    <w:name w:val="脚注文本 Char2"/>
    <w:autoRedefine/>
    <w:semiHidden/>
    <w:qFormat/>
    <w:uiPriority w:val="99"/>
    <w:rPr>
      <w:kern w:val="2"/>
      <w:sz w:val="18"/>
      <w:szCs w:val="18"/>
    </w:rPr>
  </w:style>
  <w:style w:type="character" w:customStyle="1" w:styleId="254">
    <w:name w:val="副标题 Char2"/>
    <w:autoRedefine/>
    <w:qFormat/>
    <w:uiPriority w:val="11"/>
    <w:rPr>
      <w:rFonts w:ascii="Cambria" w:hAnsi="Cambria" w:cs="Times New Roman"/>
      <w:b/>
      <w:bCs/>
      <w:kern w:val="28"/>
      <w:sz w:val="32"/>
      <w:szCs w:val="32"/>
    </w:rPr>
  </w:style>
  <w:style w:type="character" w:customStyle="1" w:styleId="255">
    <w:name w:val="样式 Char Char"/>
    <w:link w:val="256"/>
    <w:autoRedefine/>
    <w:qFormat/>
    <w:uiPriority w:val="0"/>
    <w:rPr>
      <w:rFonts w:ascii="宋体" w:hAnsi="宋体" w:cs="宋体"/>
      <w:sz w:val="24"/>
      <w:szCs w:val="24"/>
    </w:rPr>
  </w:style>
  <w:style w:type="paragraph" w:customStyle="1" w:styleId="256">
    <w:name w:val="样式"/>
    <w:link w:val="255"/>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257">
    <w:name w:val="批注主题 Char1"/>
    <w:autoRedefine/>
    <w:semiHidden/>
    <w:qFormat/>
    <w:uiPriority w:val="0"/>
    <w:rPr>
      <w:b/>
      <w:bCs/>
      <w:kern w:val="2"/>
      <w:sz w:val="21"/>
      <w:szCs w:val="21"/>
    </w:rPr>
  </w:style>
  <w:style w:type="character" w:customStyle="1" w:styleId="258">
    <w:name w:val="引用 Char"/>
    <w:link w:val="259"/>
    <w:autoRedefine/>
    <w:qFormat/>
    <w:uiPriority w:val="0"/>
    <w:rPr>
      <w:i/>
      <w:iCs/>
      <w:color w:val="000000"/>
      <w:kern w:val="2"/>
      <w:sz w:val="21"/>
      <w:szCs w:val="24"/>
    </w:rPr>
  </w:style>
  <w:style w:type="paragraph" w:styleId="259">
    <w:name w:val="Quote"/>
    <w:basedOn w:val="1"/>
    <w:next w:val="1"/>
    <w:link w:val="258"/>
    <w:autoRedefine/>
    <w:qFormat/>
    <w:uiPriority w:val="0"/>
    <w:rPr>
      <w:i/>
      <w:iCs/>
      <w:color w:val="000000"/>
    </w:rPr>
  </w:style>
  <w:style w:type="character" w:customStyle="1" w:styleId="260">
    <w:name w:val="引用 Char3"/>
    <w:autoRedefine/>
    <w:qFormat/>
    <w:uiPriority w:val="99"/>
    <w:rPr>
      <w:i/>
      <w:iCs/>
      <w:color w:val="000000"/>
      <w:kern w:val="2"/>
      <w:sz w:val="21"/>
      <w:szCs w:val="24"/>
    </w:rPr>
  </w:style>
  <w:style w:type="character" w:customStyle="1" w:styleId="261">
    <w:name w:val="Char Char8"/>
    <w:autoRedefine/>
    <w:qFormat/>
    <w:uiPriority w:val="0"/>
    <w:rPr>
      <w:rFonts w:ascii="Arial" w:hAnsi="Arial" w:eastAsia="黑体"/>
      <w:b/>
      <w:bCs/>
      <w:kern w:val="2"/>
      <w:sz w:val="32"/>
      <w:szCs w:val="32"/>
      <w:lang w:val="en-US" w:eastAsia="zh-CN" w:bidi="ar-SA"/>
    </w:rPr>
  </w:style>
  <w:style w:type="character" w:customStyle="1" w:styleId="262">
    <w:name w:val="Char Char Char1"/>
    <w:autoRedefine/>
    <w:qFormat/>
    <w:uiPriority w:val="0"/>
    <w:rPr>
      <w:rFonts w:ascii="Arial" w:hAnsi="Arial" w:eastAsia="黑体"/>
      <w:b/>
      <w:bCs/>
      <w:kern w:val="2"/>
      <w:sz w:val="32"/>
      <w:szCs w:val="32"/>
      <w:lang w:val="en-US" w:eastAsia="zh-CN" w:bidi="ar-SA"/>
    </w:rPr>
  </w:style>
  <w:style w:type="character" w:customStyle="1" w:styleId="263">
    <w:name w:val="Char Char71"/>
    <w:autoRedefine/>
    <w:qFormat/>
    <w:uiPriority w:val="0"/>
    <w:rPr>
      <w:rFonts w:ascii="Arial" w:hAnsi="Arial" w:eastAsia="黑体"/>
      <w:b/>
      <w:bCs/>
      <w:kern w:val="2"/>
      <w:sz w:val="32"/>
      <w:szCs w:val="32"/>
      <w:lang w:val="en-US" w:eastAsia="zh-CN" w:bidi="ar-SA"/>
    </w:rPr>
  </w:style>
  <w:style w:type="character" w:customStyle="1" w:styleId="264">
    <w:name w:val="Char Char81"/>
    <w:autoRedefine/>
    <w:qFormat/>
    <w:uiPriority w:val="0"/>
    <w:rPr>
      <w:rFonts w:ascii="Arial" w:hAnsi="Arial" w:eastAsia="黑体"/>
      <w:b/>
      <w:bCs/>
      <w:kern w:val="2"/>
      <w:sz w:val="32"/>
      <w:szCs w:val="32"/>
      <w:lang w:val="en-US" w:eastAsia="zh-CN" w:bidi="ar-SA"/>
    </w:rPr>
  </w:style>
  <w:style w:type="character" w:customStyle="1" w:styleId="265">
    <w:name w:val="标题 4 Char Char"/>
    <w:autoRedefine/>
    <w:qFormat/>
    <w:uiPriority w:val="0"/>
    <w:rPr>
      <w:rFonts w:ascii="Arial" w:hAnsi="Arial" w:eastAsia="黑体"/>
      <w:b/>
      <w:bCs/>
      <w:kern w:val="2"/>
      <w:sz w:val="28"/>
      <w:szCs w:val="28"/>
    </w:rPr>
  </w:style>
  <w:style w:type="character" w:customStyle="1" w:styleId="266">
    <w:name w:val="_Style 263"/>
    <w:autoRedefine/>
    <w:qFormat/>
    <w:uiPriority w:val="0"/>
    <w:rPr>
      <w:i/>
      <w:iCs/>
      <w:color w:val="808080"/>
    </w:rPr>
  </w:style>
  <w:style w:type="character" w:customStyle="1" w:styleId="267">
    <w:name w:val="页眉 Char1"/>
    <w:autoRedefine/>
    <w:semiHidden/>
    <w:qFormat/>
    <w:uiPriority w:val="99"/>
    <w:rPr>
      <w:kern w:val="2"/>
      <w:sz w:val="18"/>
      <w:szCs w:val="18"/>
    </w:rPr>
  </w:style>
  <w:style w:type="character" w:customStyle="1" w:styleId="268">
    <w:name w:val="正文文本缩进 2 Char1"/>
    <w:autoRedefine/>
    <w:semiHidden/>
    <w:qFormat/>
    <w:uiPriority w:val="0"/>
    <w:rPr>
      <w:kern w:val="2"/>
      <w:sz w:val="21"/>
      <w:szCs w:val="21"/>
    </w:rPr>
  </w:style>
  <w:style w:type="character" w:customStyle="1" w:styleId="269">
    <w:name w:val="_Style 266"/>
    <w:autoRedefine/>
    <w:qFormat/>
    <w:uiPriority w:val="0"/>
    <w:rPr>
      <w:smallCaps/>
      <w:color w:val="C0504D"/>
      <w:u w:val="single"/>
    </w:rPr>
  </w:style>
  <w:style w:type="character" w:customStyle="1" w:styleId="270">
    <w:name w:val="font5 Char"/>
    <w:autoRedefine/>
    <w:qFormat/>
    <w:uiPriority w:val="0"/>
    <w:rPr>
      <w:rFonts w:ascii="宋体" w:hAnsi="宋体" w:eastAsia="宋体"/>
      <w:sz w:val="28"/>
      <w:szCs w:val="28"/>
      <w:lang w:val="en-US" w:eastAsia="zh-CN" w:bidi="ar-SA"/>
    </w:rPr>
  </w:style>
  <w:style w:type="paragraph" w:customStyle="1" w:styleId="271">
    <w:name w:val="普通 (Web)"/>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272">
    <w:name w:val="font5"/>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273">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val="0"/>
      <w:kern w:val="2"/>
      <w:sz w:val="28"/>
      <w:szCs w:val="20"/>
    </w:rPr>
  </w:style>
  <w:style w:type="paragraph" w:customStyle="1" w:styleId="274">
    <w:name w:val="table_1stline"/>
    <w:basedOn w:val="1"/>
    <w:autoRedefine/>
    <w:qFormat/>
    <w:uiPriority w:val="0"/>
    <w:pPr>
      <w:widowControl/>
      <w:spacing w:before="120"/>
      <w:jc w:val="left"/>
    </w:pPr>
    <w:rPr>
      <w:bCs/>
      <w:kern w:val="0"/>
      <w:sz w:val="20"/>
      <w:szCs w:val="20"/>
      <w:lang w:val="de-DE" w:eastAsia="de-DE"/>
    </w:rPr>
  </w:style>
  <w:style w:type="paragraph" w:customStyle="1" w:styleId="275">
    <w:name w:val="_Style 272"/>
    <w:basedOn w:val="3"/>
    <w:next w:val="1"/>
    <w:autoRedefine/>
    <w:qFormat/>
    <w:uiPriority w:val="39"/>
    <w:pPr>
      <w:jc w:val="center"/>
      <w:outlineLvl w:val="9"/>
    </w:pPr>
  </w:style>
  <w:style w:type="paragraph" w:customStyle="1" w:styleId="276">
    <w:name w:val="font6"/>
    <w:basedOn w:val="1"/>
    <w:autoRedefine/>
    <w:qFormat/>
    <w:uiPriority w:val="0"/>
    <w:pPr>
      <w:widowControl/>
      <w:spacing w:before="100" w:beforeAutospacing="1" w:after="100" w:afterAutospacing="1"/>
      <w:jc w:val="left"/>
    </w:pPr>
    <w:rPr>
      <w:rFonts w:hint="eastAsia" w:ascii="宋体" w:hAnsi="宋体"/>
      <w:kern w:val="0"/>
      <w:sz w:val="28"/>
      <w:szCs w:val="28"/>
      <w:u w:val="single"/>
    </w:rPr>
  </w:style>
  <w:style w:type="paragraph" w:customStyle="1" w:styleId="277">
    <w:name w:val="正文文本缩进1"/>
    <w:basedOn w:val="1"/>
    <w:autoRedefine/>
    <w:qFormat/>
    <w:uiPriority w:val="0"/>
    <w:pPr>
      <w:spacing w:line="360" w:lineRule="auto"/>
      <w:ind w:firstLine="420"/>
    </w:pPr>
    <w:rPr>
      <w:rFonts w:ascii="宋体"/>
      <w:sz w:val="24"/>
    </w:rPr>
  </w:style>
  <w:style w:type="paragraph" w:customStyle="1" w:styleId="278">
    <w:name w:val="xl29"/>
    <w:basedOn w:val="1"/>
    <w:autoRedefine/>
    <w:qFormat/>
    <w:uiPriority w:val="0"/>
    <w:pPr>
      <w:widowControl/>
      <w:pBdr>
        <w:left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279">
    <w:name w:val="样式 标题 2 + 黑色 行距: 1.5 倍行距"/>
    <w:basedOn w:val="4"/>
    <w:autoRedefine/>
    <w:qFormat/>
    <w:uiPriority w:val="0"/>
    <w:pPr>
      <w:spacing w:line="360" w:lineRule="auto"/>
    </w:pPr>
    <w:rPr>
      <w:rFonts w:ascii="宋体" w:hAnsi="宋体" w:eastAsia="宋体"/>
      <w:bCs w:val="0"/>
      <w:color w:val="000000"/>
    </w:rPr>
  </w:style>
  <w:style w:type="paragraph" w:customStyle="1" w:styleId="280">
    <w:name w:val="table_lines"/>
    <w:basedOn w:val="1"/>
    <w:autoRedefine/>
    <w:qFormat/>
    <w:uiPriority w:val="0"/>
    <w:pPr>
      <w:widowControl/>
      <w:jc w:val="left"/>
    </w:pPr>
    <w:rPr>
      <w:kern w:val="0"/>
      <w:sz w:val="20"/>
      <w:szCs w:val="20"/>
      <w:lang w:val="de-DE" w:eastAsia="de-DE"/>
    </w:rPr>
  </w:style>
  <w:style w:type="paragraph" w:customStyle="1" w:styleId="281">
    <w:name w:val="标题3"/>
    <w:basedOn w:val="1"/>
    <w:next w:val="1"/>
    <w:autoRedefine/>
    <w:qFormat/>
    <w:uiPriority w:val="0"/>
    <w:pPr>
      <w:autoSpaceDE w:val="0"/>
      <w:autoSpaceDN w:val="0"/>
      <w:snapToGrid w:val="0"/>
      <w:spacing w:line="590" w:lineRule="atLeast"/>
      <w:ind w:firstLine="624"/>
    </w:pPr>
    <w:rPr>
      <w:rFonts w:ascii="方正黑体_GBK" w:eastAsia="方正黑体_GBK"/>
      <w:snapToGrid w:val="0"/>
      <w:kern w:val="0"/>
      <w:sz w:val="32"/>
      <w:szCs w:val="32"/>
    </w:rPr>
  </w:style>
  <w:style w:type="paragraph" w:customStyle="1" w:styleId="282">
    <w:name w:val="样式 标题 1 + 黑体 三号 非加粗 居中 段前: 6 磅 段后: 6 磅 行距: 固定值 20 磅"/>
    <w:basedOn w:val="3"/>
    <w:autoRedefine/>
    <w:qFormat/>
    <w:uiPriority w:val="0"/>
    <w:pPr>
      <w:spacing w:before="120" w:after="120" w:line="400" w:lineRule="exact"/>
      <w:jc w:val="center"/>
    </w:pPr>
    <w:rPr>
      <w:rFonts w:ascii="黑体" w:hAnsi="黑体" w:eastAsia="黑体" w:cs="宋体"/>
      <w:b w:val="0"/>
      <w:bCs w:val="0"/>
      <w:sz w:val="32"/>
      <w:szCs w:val="20"/>
    </w:rPr>
  </w:style>
  <w:style w:type="paragraph" w:customStyle="1" w:styleId="283">
    <w:name w:val="附录1"/>
    <w:autoRedefine/>
    <w:qFormat/>
    <w:uiPriority w:val="0"/>
    <w:pPr>
      <w:numPr>
        <w:ilvl w:val="0"/>
        <w:numId w:val="2"/>
      </w:numPr>
      <w:tabs>
        <w:tab w:val="left" w:pos="907"/>
      </w:tabs>
      <w:snapToGrid w:val="0"/>
      <w:spacing w:before="240" w:line="600" w:lineRule="atLeast"/>
    </w:pPr>
    <w:rPr>
      <w:rFonts w:ascii="Times New Roman" w:hAnsi="Times New Roman" w:eastAsia="宋体" w:cs="Times New Roman"/>
      <w:b/>
      <w:i/>
      <w:sz w:val="28"/>
      <w:lang w:val="en-US" w:eastAsia="zh-CN" w:bidi="ar-SA"/>
    </w:rPr>
  </w:style>
  <w:style w:type="paragraph" w:customStyle="1" w:styleId="284">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24"/>
    </w:rPr>
  </w:style>
  <w:style w:type="paragraph" w:customStyle="1" w:styleId="285">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6">
    <w:name w:val="表格文字"/>
    <w:basedOn w:val="1"/>
    <w:autoRedefine/>
    <w:qFormat/>
    <w:uiPriority w:val="0"/>
    <w:pPr>
      <w:adjustRightInd w:val="0"/>
      <w:spacing w:line="420" w:lineRule="atLeast"/>
      <w:jc w:val="left"/>
      <w:textAlignment w:val="baseline"/>
    </w:pPr>
    <w:rPr>
      <w:kern w:val="0"/>
    </w:rPr>
  </w:style>
  <w:style w:type="paragraph" w:customStyle="1" w:styleId="287">
    <w:name w:val="样式1"/>
    <w:basedOn w:val="1"/>
    <w:autoRedefine/>
    <w:qFormat/>
    <w:uiPriority w:val="0"/>
    <w:pPr>
      <w:numPr>
        <w:ilvl w:val="0"/>
        <w:numId w:val="3"/>
      </w:numPr>
      <w:tabs>
        <w:tab w:val="left" w:pos="709"/>
      </w:tabs>
      <w:adjustRightInd w:val="0"/>
      <w:textAlignment w:val="baseline"/>
    </w:pPr>
    <w:rPr>
      <w:rFonts w:ascii="宋体" w:hAnsi="宋体"/>
      <w:kern w:val="0"/>
      <w:szCs w:val="21"/>
    </w:rPr>
  </w:style>
  <w:style w:type="paragraph" w:customStyle="1" w:styleId="288">
    <w:name w:val="List Paragraph1"/>
    <w:basedOn w:val="1"/>
    <w:autoRedefine/>
    <w:qFormat/>
    <w:uiPriority w:val="34"/>
    <w:pPr>
      <w:widowControl/>
      <w:ind w:left="720"/>
      <w:contextualSpacing/>
      <w:jc w:val="left"/>
    </w:pPr>
    <w:rPr>
      <w:rFonts w:ascii="Calibri" w:hAnsi="Calibri"/>
      <w:kern w:val="0"/>
      <w:sz w:val="24"/>
      <w:lang w:eastAsia="en-US" w:bidi="en-US"/>
    </w:rPr>
  </w:style>
  <w:style w:type="paragraph" w:customStyle="1" w:styleId="289">
    <w:name w:val="Char Char2 Char Char"/>
    <w:basedOn w:val="16"/>
    <w:autoRedefine/>
    <w:qFormat/>
    <w:uiPriority w:val="0"/>
    <w:rPr>
      <w:rFonts w:hint="eastAsia" w:ascii="Tahoma" w:hAnsi="Tahoma"/>
      <w:kern w:val="2"/>
      <w:sz w:val="24"/>
      <w:shd w:val="clear" w:color="auto" w:fill="000080"/>
    </w:rPr>
  </w:style>
  <w:style w:type="paragraph" w:customStyle="1" w:styleId="290">
    <w:name w:val="6'"/>
    <w:basedOn w:val="1"/>
    <w:autoRedefine/>
    <w:qFormat/>
    <w:uiPriority w:val="0"/>
    <w:pPr>
      <w:autoSpaceDE w:val="0"/>
      <w:autoSpaceDN w:val="0"/>
      <w:adjustRightInd w:val="0"/>
      <w:snapToGrid w:val="0"/>
      <w:spacing w:line="320" w:lineRule="exact"/>
      <w:jc w:val="center"/>
      <w:textAlignment w:val="baseline"/>
    </w:pPr>
    <w:rPr>
      <w:spacing w:val="20"/>
      <w:kern w:val="28"/>
    </w:rPr>
  </w:style>
  <w:style w:type="paragraph" w:customStyle="1" w:styleId="291">
    <w:name w:val="Char Char2 Char Char1"/>
    <w:basedOn w:val="16"/>
    <w:autoRedefine/>
    <w:qFormat/>
    <w:uiPriority w:val="0"/>
    <w:rPr>
      <w:rFonts w:hint="eastAsia" w:ascii="Tahoma" w:hAnsi="Tahoma"/>
      <w:kern w:val="2"/>
      <w:sz w:val="24"/>
      <w:shd w:val="clear" w:color="auto" w:fill="000080"/>
    </w:rPr>
  </w:style>
  <w:style w:type="paragraph" w:customStyle="1" w:styleId="292">
    <w:name w:val="font7"/>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93">
    <w:name w:val="xl30"/>
    <w:basedOn w:val="1"/>
    <w:autoRedefine/>
    <w:qFormat/>
    <w:uiPriority w:val="0"/>
    <w:pPr>
      <w:widowControl/>
      <w:spacing w:before="100" w:beforeAutospacing="1" w:after="100" w:afterAutospacing="1"/>
      <w:jc w:val="center"/>
    </w:pPr>
    <w:rPr>
      <w:rFonts w:ascii="宋体" w:hAnsi="宋体"/>
      <w:b/>
      <w:bCs/>
      <w:kern w:val="0"/>
      <w:sz w:val="36"/>
      <w:szCs w:val="36"/>
    </w:rPr>
  </w:style>
  <w:style w:type="paragraph" w:customStyle="1" w:styleId="294">
    <w:name w:val="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95">
    <w:name w:val="标题 2 + 黑色 行距: 1.5 倍行距"/>
    <w:basedOn w:val="4"/>
    <w:autoRedefine/>
    <w:qFormat/>
    <w:uiPriority w:val="0"/>
    <w:pPr>
      <w:spacing w:line="360" w:lineRule="auto"/>
    </w:pPr>
    <w:rPr>
      <w:rFonts w:eastAsia="宋体" w:cs="宋体"/>
      <w:color w:val="000000"/>
      <w:kern w:val="2"/>
      <w:szCs w:val="20"/>
    </w:rPr>
  </w:style>
  <w:style w:type="paragraph" w:customStyle="1" w:styleId="296">
    <w:name w:val="paragraphinden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7">
    <w:name w:val="Char Char Char Char Char Char Char Char Char Char1"/>
    <w:basedOn w:val="1"/>
    <w:autoRedefine/>
    <w:qFormat/>
    <w:uiPriority w:val="0"/>
    <w:pPr>
      <w:adjustRightInd w:val="0"/>
      <w:spacing w:line="360" w:lineRule="auto"/>
    </w:pPr>
    <w:rPr>
      <w:kern w:val="0"/>
      <w:sz w:val="24"/>
      <w:szCs w:val="20"/>
    </w:rPr>
  </w:style>
  <w:style w:type="paragraph" w:customStyle="1" w:styleId="298">
    <w:name w:val="正文文本缩进11"/>
    <w:basedOn w:val="1"/>
    <w:autoRedefine/>
    <w:qFormat/>
    <w:uiPriority w:val="0"/>
    <w:pPr>
      <w:spacing w:line="360" w:lineRule="auto"/>
      <w:ind w:firstLine="420"/>
    </w:pPr>
    <w:rPr>
      <w:rFonts w:ascii="宋体"/>
      <w:sz w:val="24"/>
    </w:rPr>
  </w:style>
  <w:style w:type="paragraph" w:customStyle="1" w:styleId="299">
    <w:name w:val="纯文本1"/>
    <w:basedOn w:val="1"/>
    <w:autoRedefine/>
    <w:qFormat/>
    <w:uiPriority w:val="0"/>
    <w:rPr>
      <w:rFonts w:ascii="宋体" w:hAnsi="Courier New"/>
      <w:sz w:val="28"/>
    </w:rPr>
  </w:style>
  <w:style w:type="paragraph" w:customStyle="1" w:styleId="300">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p0"/>
    <w:basedOn w:val="1"/>
    <w:autoRedefine/>
    <w:qFormat/>
    <w:uiPriority w:val="0"/>
    <w:pPr>
      <w:widowControl/>
      <w:ind w:firstLine="420"/>
      <w:jc w:val="left"/>
    </w:pPr>
    <w:rPr>
      <w:kern w:val="0"/>
      <w:sz w:val="20"/>
      <w:szCs w:val="20"/>
    </w:rPr>
  </w:style>
  <w:style w:type="paragraph" w:customStyle="1" w:styleId="302">
    <w:name w:val="样式2"/>
    <w:basedOn w:val="5"/>
    <w:autoRedefine/>
    <w:qFormat/>
    <w:uiPriority w:val="0"/>
    <w:pPr>
      <w:spacing w:before="20" w:after="20" w:line="415" w:lineRule="auto"/>
      <w:ind w:firstLine="137" w:firstLineChars="49"/>
    </w:pPr>
    <w:rPr>
      <w:rFonts w:hAnsi="黑体" w:eastAsia="黑体"/>
      <w:b w:val="0"/>
      <w:bCs w:val="0"/>
      <w:kern w:val="2"/>
      <w:sz w:val="24"/>
      <w:szCs w:val="20"/>
    </w:rPr>
  </w:style>
  <w:style w:type="paragraph" w:customStyle="1" w:styleId="303">
    <w:name w:val="Body Text(ch)"/>
    <w:basedOn w:val="1"/>
    <w:next w:val="19"/>
    <w:autoRedefine/>
    <w:qFormat/>
    <w:uiPriority w:val="0"/>
    <w:pPr>
      <w:spacing w:after="120"/>
    </w:pPr>
    <w:rPr>
      <w:rFonts w:ascii="宋体" w:hAnsi="Arial"/>
      <w:bCs/>
      <w:iCs/>
    </w:rPr>
  </w:style>
  <w:style w:type="paragraph" w:customStyle="1" w:styleId="304">
    <w:name w:val="图标"/>
    <w:basedOn w:val="1"/>
    <w:next w:val="1"/>
    <w:autoRedefine/>
    <w:qFormat/>
    <w:uiPriority w:val="0"/>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paragraph" w:customStyle="1" w:styleId="305">
    <w:name w:val="样式4"/>
    <w:basedOn w:val="5"/>
    <w:autoRedefine/>
    <w:qFormat/>
    <w:uiPriority w:val="0"/>
    <w:pPr>
      <w:spacing w:before="20" w:after="20" w:line="415" w:lineRule="auto"/>
      <w:ind w:firstLine="137" w:firstLineChars="49"/>
    </w:pPr>
    <w:rPr>
      <w:rFonts w:hAnsi="黑体" w:eastAsia="Arial"/>
      <w:b w:val="0"/>
      <w:bCs w:val="0"/>
      <w:kern w:val="2"/>
      <w:sz w:val="24"/>
      <w:szCs w:val="20"/>
    </w:rPr>
  </w:style>
  <w:style w:type="paragraph" w:customStyle="1" w:styleId="306">
    <w:name w:val="样式3"/>
    <w:basedOn w:val="5"/>
    <w:autoRedefine/>
    <w:qFormat/>
    <w:uiPriority w:val="0"/>
    <w:pPr>
      <w:spacing w:before="20" w:after="20" w:line="415" w:lineRule="auto"/>
      <w:ind w:firstLine="137" w:firstLineChars="49"/>
    </w:pPr>
    <w:rPr>
      <w:rFonts w:hAnsi="黑体" w:eastAsia="Arial"/>
      <w:b w:val="0"/>
      <w:bCs w:val="0"/>
      <w:kern w:val="2"/>
      <w:sz w:val="24"/>
      <w:szCs w:val="20"/>
    </w:rPr>
  </w:style>
  <w:style w:type="paragraph" w:customStyle="1" w:styleId="307">
    <w:name w:val="4"/>
    <w:basedOn w:val="1"/>
    <w:next w:val="39"/>
    <w:autoRedefine/>
    <w:qFormat/>
    <w:uiPriority w:val="0"/>
    <w:pPr>
      <w:spacing w:line="360" w:lineRule="auto"/>
      <w:ind w:firstLine="420"/>
    </w:pPr>
    <w:rPr>
      <w:color w:val="FF0000"/>
      <w:sz w:val="24"/>
    </w:rPr>
  </w:style>
  <w:style w:type="paragraph" w:customStyle="1" w:styleId="308">
    <w:name w:val="纯文本2"/>
    <w:basedOn w:val="1"/>
    <w:autoRedefine/>
    <w:qFormat/>
    <w:uiPriority w:val="0"/>
    <w:rPr>
      <w:rFonts w:ascii="宋体" w:hAnsi="Courier New"/>
      <w:sz w:val="28"/>
    </w:rPr>
  </w:style>
  <w:style w:type="paragraph" w:customStyle="1" w:styleId="309">
    <w:name w:val="1"/>
    <w:basedOn w:val="1"/>
    <w:next w:val="1"/>
    <w:autoRedefine/>
    <w:qFormat/>
    <w:uiPriority w:val="0"/>
  </w:style>
  <w:style w:type="paragraph" w:customStyle="1" w:styleId="310">
    <w:name w:val="Personal Name"/>
    <w:basedOn w:val="47"/>
    <w:autoRedefine/>
    <w:qFormat/>
    <w:uiPriority w:val="0"/>
    <w:rPr>
      <w:rFonts w:ascii="Impact" w:hAnsi="Impact"/>
      <w:b w:val="0"/>
      <w:caps/>
      <w:color w:val="000000"/>
      <w:sz w:val="28"/>
      <w:szCs w:val="28"/>
    </w:rPr>
  </w:style>
  <w:style w:type="paragraph" w:customStyle="1" w:styleId="311">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12">
    <w:name w:val="样式 标题 3 + (中文) 黑体 小四 非加粗 段前: 7.8 磅 段后: 0 磅 行距: 固定值 20 磅"/>
    <w:basedOn w:val="5"/>
    <w:autoRedefine/>
    <w:qFormat/>
    <w:uiPriority w:val="0"/>
    <w:pPr>
      <w:spacing w:before="0" w:after="0" w:line="400" w:lineRule="exact"/>
      <w:ind w:firstLine="137" w:firstLineChars="49"/>
    </w:pPr>
    <w:rPr>
      <w:rFonts w:hAnsi="黑体" w:eastAsia="黑体" w:cs="宋体"/>
      <w:kern w:val="2"/>
      <w:sz w:val="24"/>
      <w:szCs w:val="20"/>
    </w:rPr>
  </w:style>
  <w:style w:type="paragraph" w:customStyle="1" w:styleId="313">
    <w:name w:val="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14">
    <w:name w:val="xl2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315">
    <w:name w:val="Default"/>
    <w:autoRedefine/>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16">
    <w:name w:val="Body text|1_"/>
    <w:link w:val="317"/>
    <w:autoRedefine/>
    <w:qFormat/>
    <w:locked/>
    <w:uiPriority w:val="0"/>
    <w:rPr>
      <w:rFonts w:ascii="宋体" w:hAnsi="宋体" w:cs="宋体"/>
      <w:lang w:val="zh-TW" w:eastAsia="zh-TW" w:bidi="zh-TW"/>
    </w:rPr>
  </w:style>
  <w:style w:type="paragraph" w:customStyle="1" w:styleId="317">
    <w:name w:val="Body text|1"/>
    <w:basedOn w:val="1"/>
    <w:link w:val="316"/>
    <w:autoRedefine/>
    <w:qFormat/>
    <w:uiPriority w:val="0"/>
    <w:pPr>
      <w:spacing w:line="413" w:lineRule="exact"/>
      <w:ind w:firstLine="420"/>
      <w:jc w:val="left"/>
    </w:pPr>
    <w:rPr>
      <w:rFonts w:ascii="宋体" w:hAnsi="宋体" w:cs="宋体"/>
      <w:kern w:val="0"/>
      <w:sz w:val="20"/>
      <w:szCs w:val="20"/>
      <w:lang w:val="zh-TW" w:eastAsia="zh-TW" w:bidi="zh-TW"/>
    </w:rPr>
  </w:style>
  <w:style w:type="paragraph" w:customStyle="1" w:styleId="318">
    <w:name w:val="_Style 315"/>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319">
    <w:name w:val="Char2"/>
    <w:basedOn w:val="1"/>
    <w:autoRedefine/>
    <w:qFormat/>
    <w:uiPriority w:val="0"/>
    <w:rPr>
      <w:rFonts w:ascii="Tahoma" w:hAnsi="Tahoma"/>
      <w:sz w:val="24"/>
      <w:szCs w:val="20"/>
    </w:rPr>
  </w:style>
  <w:style w:type="paragraph" w:customStyle="1" w:styleId="320">
    <w:name w:val="Char Char Char Char2"/>
    <w:basedOn w:val="1"/>
    <w:autoRedefine/>
    <w:qFormat/>
    <w:uiPriority w:val="0"/>
    <w:rPr>
      <w:rFonts w:ascii="Tahoma" w:hAnsi="Tahoma"/>
      <w:sz w:val="24"/>
      <w:szCs w:val="20"/>
    </w:rPr>
  </w:style>
  <w:style w:type="paragraph" w:customStyle="1" w:styleId="321">
    <w:name w:val="Char Char1 Char Char 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22">
    <w:name w:val="Char Char 字元 字元 字元 Char Char Char Char1"/>
    <w:basedOn w:val="1"/>
    <w:autoRedefine/>
    <w:qFormat/>
    <w:uiPriority w:val="0"/>
    <w:pPr>
      <w:adjustRightInd w:val="0"/>
      <w:spacing w:line="360" w:lineRule="auto"/>
    </w:pPr>
    <w:rPr>
      <w:kern w:val="0"/>
      <w:sz w:val="24"/>
      <w:szCs w:val="20"/>
    </w:rPr>
  </w:style>
  <w:style w:type="character" w:customStyle="1" w:styleId="323">
    <w:name w:val="未处理的提及"/>
    <w:autoRedefine/>
    <w:unhideWhenUsed/>
    <w:qFormat/>
    <w:uiPriority w:val="99"/>
    <w:rPr>
      <w:color w:val="605E5C"/>
      <w:shd w:val="clear" w:color="auto" w:fill="E1DFDD"/>
    </w:rPr>
  </w:style>
  <w:style w:type="paragraph" w:customStyle="1" w:styleId="324">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325">
    <w:name w:val="标题2"/>
    <w:basedOn w:val="4"/>
    <w:next w:val="1"/>
    <w:autoRedefine/>
    <w:qFormat/>
    <w:uiPriority w:val="0"/>
    <w:pPr>
      <w:spacing w:before="120" w:after="120" w:line="360" w:lineRule="auto"/>
    </w:pPr>
    <w:rPr>
      <w:rFonts w:ascii="宋体" w:hAnsi="宋体" w:eastAsia="仿宋"/>
      <w:kern w:val="2"/>
      <w:sz w:val="28"/>
    </w:rPr>
  </w:style>
  <w:style w:type="paragraph" w:customStyle="1" w:styleId="326">
    <w:name w:val="标题4"/>
    <w:basedOn w:val="6"/>
    <w:next w:val="1"/>
    <w:autoRedefine/>
    <w:qFormat/>
    <w:uiPriority w:val="0"/>
    <w:pPr>
      <w:keepLines/>
      <w:spacing w:before="120" w:after="120" w:line="360" w:lineRule="auto"/>
      <w:jc w:val="both"/>
    </w:pPr>
    <w:rPr>
      <w:rFonts w:ascii="宋体" w:hAnsi="宋体" w:eastAsia="仿宋"/>
      <w:b/>
      <w:bCs/>
      <w:kern w:val="2"/>
      <w:sz w:val="24"/>
      <w:szCs w:val="28"/>
    </w:rPr>
  </w:style>
  <w:style w:type="paragraph" w:customStyle="1" w:styleId="327">
    <w:name w:val="标题6"/>
    <w:basedOn w:val="8"/>
    <w:next w:val="1"/>
    <w:autoRedefine/>
    <w:qFormat/>
    <w:uiPriority w:val="0"/>
    <w:pPr>
      <w:keepLines/>
      <w:spacing w:before="120" w:after="120" w:line="360" w:lineRule="auto"/>
      <w:ind w:firstLine="200" w:firstLineChars="200"/>
      <w:jc w:val="both"/>
    </w:pPr>
    <w:rPr>
      <w:rFonts w:ascii="等线 Light" w:hAnsi="等线 Light" w:eastAsia="黑体"/>
      <w:bCs/>
      <w:kern w:val="2"/>
      <w:sz w:val="28"/>
      <w:szCs w:val="24"/>
    </w:rPr>
  </w:style>
  <w:style w:type="paragraph" w:customStyle="1" w:styleId="328">
    <w:name w:val="标题7"/>
    <w:basedOn w:val="10"/>
    <w:next w:val="1"/>
    <w:autoRedefine/>
    <w:qFormat/>
    <w:uiPriority w:val="0"/>
    <w:pPr>
      <w:tabs>
        <w:tab w:val="left" w:pos="360"/>
      </w:tabs>
      <w:spacing w:after="120" w:line="360" w:lineRule="auto"/>
      <w:ind w:left="3827"/>
    </w:pPr>
    <w:rPr>
      <w:rFonts w:ascii="等线" w:hAnsi="等线" w:eastAsia="黑体"/>
      <w:b w:val="0"/>
      <w:kern w:val="2"/>
      <w:sz w:val="28"/>
    </w:rPr>
  </w:style>
  <w:style w:type="paragraph" w:customStyle="1" w:styleId="329">
    <w:name w:val="标题8"/>
    <w:basedOn w:val="11"/>
    <w:next w:val="1"/>
    <w:autoRedefine/>
    <w:qFormat/>
    <w:uiPriority w:val="0"/>
    <w:pPr>
      <w:tabs>
        <w:tab w:val="left" w:pos="360"/>
      </w:tabs>
      <w:spacing w:after="120" w:line="360" w:lineRule="auto"/>
      <w:ind w:left="4394"/>
    </w:pPr>
    <w:rPr>
      <w:rFonts w:ascii="等线 Light" w:hAnsi="等线 Light"/>
      <w:kern w:val="2"/>
      <w:sz w:val="18"/>
    </w:rPr>
  </w:style>
  <w:style w:type="table" w:customStyle="1" w:styleId="330">
    <w:name w:val="Table Normal"/>
    <w:autoRedefine/>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331">
    <w:name w:val="*正文 Char"/>
    <w:link w:val="332"/>
    <w:autoRedefine/>
    <w:qFormat/>
    <w:uiPriority w:val="0"/>
    <w:rPr>
      <w:rFonts w:ascii="宋体" w:hAnsi="宋体"/>
    </w:rPr>
  </w:style>
  <w:style w:type="paragraph" w:customStyle="1" w:styleId="332">
    <w:name w:val="*正文"/>
    <w:basedOn w:val="1"/>
    <w:link w:val="331"/>
    <w:autoRedefine/>
    <w:qFormat/>
    <w:uiPriority w:val="0"/>
    <w:pPr>
      <w:widowControl/>
      <w:spacing w:line="440" w:lineRule="exact"/>
      <w:ind w:firstLine="200" w:firstLineChars="200"/>
      <w:jc w:val="left"/>
    </w:pPr>
    <w:rPr>
      <w:rFonts w:ascii="宋体" w:hAnsi="宋体"/>
      <w:kern w:val="0"/>
      <w:sz w:val="20"/>
      <w:szCs w:val="20"/>
    </w:rPr>
  </w:style>
  <w:style w:type="paragraph" w:customStyle="1" w:styleId="333">
    <w:name w:val="文档正文"/>
    <w:basedOn w:val="1"/>
    <w:autoRedefine/>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334">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35">
    <w:name w:val="font8"/>
    <w:basedOn w:val="1"/>
    <w:autoRedefine/>
    <w:qFormat/>
    <w:uiPriority w:val="0"/>
    <w:pPr>
      <w:widowControl/>
      <w:spacing w:before="100" w:beforeAutospacing="1" w:after="100" w:afterAutospacing="1"/>
      <w:jc w:val="left"/>
    </w:pPr>
    <w:rPr>
      <w:color w:val="000000"/>
      <w:kern w:val="0"/>
      <w:szCs w:val="21"/>
    </w:rPr>
  </w:style>
  <w:style w:type="paragraph" w:customStyle="1" w:styleId="336">
    <w:name w:val="font9"/>
    <w:basedOn w:val="1"/>
    <w:autoRedefine/>
    <w:qFormat/>
    <w:uiPriority w:val="0"/>
    <w:pPr>
      <w:widowControl/>
      <w:spacing w:before="100" w:beforeAutospacing="1" w:after="100" w:afterAutospacing="1"/>
      <w:jc w:val="left"/>
    </w:pPr>
    <w:rPr>
      <w:rFonts w:ascii="Calibri" w:hAnsi="Calibri" w:cs="Calibri"/>
      <w:color w:val="000000"/>
      <w:kern w:val="0"/>
      <w:sz w:val="22"/>
      <w:szCs w:val="22"/>
    </w:rPr>
  </w:style>
  <w:style w:type="paragraph" w:customStyle="1" w:styleId="337">
    <w:name w:val="font10"/>
    <w:basedOn w:val="1"/>
    <w:autoRedefine/>
    <w:qFormat/>
    <w:uiPriority w:val="0"/>
    <w:pPr>
      <w:widowControl/>
      <w:spacing w:before="100" w:beforeAutospacing="1" w:after="100" w:afterAutospacing="1"/>
      <w:jc w:val="left"/>
    </w:pPr>
    <w:rPr>
      <w:rFonts w:ascii="Calibri" w:hAnsi="Calibri" w:cs="Calibri"/>
      <w:color w:val="000000"/>
      <w:kern w:val="0"/>
      <w:sz w:val="22"/>
      <w:szCs w:val="22"/>
    </w:rPr>
  </w:style>
  <w:style w:type="paragraph" w:customStyle="1" w:styleId="338">
    <w:name w:val="font11"/>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339">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40">
    <w:name w:val="font13"/>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41">
    <w:name w:val="xl67"/>
    <w:basedOn w:val="1"/>
    <w:autoRedefine/>
    <w:qFormat/>
    <w:uiPriority w:val="0"/>
    <w:pPr>
      <w:widowControl/>
      <w:spacing w:before="100" w:beforeAutospacing="1" w:after="100" w:afterAutospacing="1"/>
      <w:jc w:val="left"/>
    </w:pPr>
    <w:rPr>
      <w:rFonts w:ascii="宋体" w:hAnsi="宋体" w:cs="宋体"/>
      <w:b/>
      <w:bCs/>
      <w:kern w:val="0"/>
      <w:sz w:val="24"/>
    </w:rPr>
  </w:style>
  <w:style w:type="paragraph" w:customStyle="1" w:styleId="342">
    <w:name w:val="xl6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43">
    <w:name w:val="xl69"/>
    <w:basedOn w:val="1"/>
    <w:autoRedefine/>
    <w:qFormat/>
    <w:uiPriority w:val="0"/>
    <w:pPr>
      <w:widowControl/>
      <w:spacing w:before="100" w:beforeAutospacing="1" w:after="100" w:afterAutospacing="1"/>
      <w:jc w:val="center"/>
    </w:pPr>
    <w:rPr>
      <w:rFonts w:ascii="宋体" w:hAnsi="宋体" w:cs="宋体"/>
      <w:kern w:val="0"/>
      <w:sz w:val="24"/>
    </w:rPr>
  </w:style>
  <w:style w:type="paragraph" w:customStyle="1" w:styleId="344">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45">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6">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47">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348">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00000"/>
      <w:kern w:val="0"/>
      <w:sz w:val="24"/>
    </w:rPr>
  </w:style>
  <w:style w:type="paragraph" w:customStyle="1" w:styleId="349">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350">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351">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2">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53">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54">
    <w:name w:val="xl8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55">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56">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5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58">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5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60">
    <w:name w:val="xl8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61">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62">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63">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64">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65">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66">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67">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68">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69">
    <w:name w:val="xl9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0">
    <w:name w:val="xl9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371">
    <w:name w:val="xl97"/>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372">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73">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74">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75">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76">
    <w:name w:val="修订1"/>
    <w:autoRedefine/>
    <w:unhideWhenUsed/>
    <w:qFormat/>
    <w:uiPriority w:val="99"/>
    <w:rPr>
      <w:rFonts w:ascii="Times New Roman" w:hAnsi="Times New Roman" w:eastAsia="宋体" w:cs="Times New Roman"/>
      <w:kern w:val="2"/>
      <w:sz w:val="21"/>
      <w:szCs w:val="24"/>
      <w:lang w:val="en-US" w:eastAsia="zh-CN" w:bidi="ar-SA"/>
    </w:rPr>
  </w:style>
  <w:style w:type="table" w:customStyle="1" w:styleId="377">
    <w:name w:val="Table Normal1"/>
    <w:autoRedefine/>
    <w:semiHidden/>
    <w:unhideWhenUsed/>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 w:type="table" w:customStyle="1" w:styleId="378">
    <w:name w:val="Table Normal2"/>
    <w:autoRedefine/>
    <w:semiHidden/>
    <w:unhideWhenUsed/>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 w:type="table" w:customStyle="1" w:styleId="379">
    <w:name w:val="Table Normal3"/>
    <w:autoRedefine/>
    <w:semiHidden/>
    <w:unhideWhenUsed/>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56</Pages>
  <Words>4953</Words>
  <Characters>28236</Characters>
  <Lines>235</Lines>
  <Paragraphs>66</Paragraphs>
  <TotalTime>8</TotalTime>
  <ScaleCrop>false</ScaleCrop>
  <LinksUpToDate>false</LinksUpToDate>
  <CharactersWithSpaces>33123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2024-04-09T02:09:00Z</dcterms:created>
  <dc:creator>315</dc:creator>
  <cp:lastModifiedBy>满天星-冯</cp:lastModifiedBy>
  <cp:lastPrinted>2022-12-27T02:32:00Z</cp:lastPrinted>
  <dcterms:modified xsi:type="dcterms:W3CDTF">2024-04-09T02:26:49Z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107CFC5FE193495A8CA14AFD58EB1B31_13</vt:lpwstr>
  </property>
</Properties>
</file>