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hint="eastAsia" w:ascii="仿宋" w:hAnsi="仿宋" w:eastAsia="仿宋"/>
          <w:sz w:val="28"/>
          <w:szCs w:val="28"/>
        </w:rPr>
        <w:t xml:space="preserve"> </w:t>
      </w:r>
      <w:r>
        <w:rPr>
          <w:rFonts w:hint="eastAsia" w:asciiTheme="minorEastAsia" w:hAnsiTheme="minorEastAsia"/>
          <w:b/>
          <w:bCs/>
          <w:sz w:val="32"/>
          <w:szCs w:val="32"/>
        </w:rPr>
        <w:t>江苏运通港口物流发展有限公司</w:t>
      </w:r>
      <w:r>
        <w:rPr>
          <w:rFonts w:hint="eastAsia" w:asciiTheme="minorEastAsia" w:hAnsiTheme="minorEastAsia"/>
          <w:b/>
          <w:bCs/>
          <w:sz w:val="32"/>
          <w:szCs w:val="32"/>
          <w:lang w:val="en-US" w:eastAsia="zh-CN"/>
        </w:rPr>
        <w:t>固定</w:t>
      </w:r>
      <w:r>
        <w:rPr>
          <w:rFonts w:hint="eastAsia" w:asciiTheme="minorEastAsia" w:hAnsiTheme="minorEastAsia"/>
          <w:b/>
          <w:sz w:val="32"/>
          <w:szCs w:val="32"/>
          <w:lang w:val="en-US" w:eastAsia="zh-CN"/>
        </w:rPr>
        <w:t>收益类保本型产品</w:t>
      </w:r>
      <w:r>
        <w:rPr>
          <w:rFonts w:hint="eastAsia" w:asciiTheme="minorEastAsia" w:hAnsiTheme="minorEastAsia"/>
          <w:b/>
          <w:sz w:val="32"/>
          <w:szCs w:val="32"/>
        </w:rPr>
        <w:t>询价文件</w:t>
      </w:r>
    </w:p>
    <w:p>
      <w:pPr>
        <w:rPr>
          <w:rFonts w:hint="eastAsia" w:ascii="仿宋" w:hAnsi="仿宋" w:eastAsia="仿宋"/>
          <w:sz w:val="28"/>
          <w:szCs w:val="28"/>
        </w:rPr>
      </w:pPr>
      <w:r>
        <w:rPr>
          <w:rFonts w:hint="eastAsia" w:ascii="仿宋" w:hAnsi="仿宋" w:eastAsia="仿宋"/>
          <w:sz w:val="28"/>
          <w:szCs w:val="28"/>
        </w:rPr>
        <w:t xml:space="preserve">  </w:t>
      </w:r>
    </w:p>
    <w:p>
      <w:pPr>
        <w:rPr>
          <w:rFonts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b/>
          <w:sz w:val="28"/>
          <w:szCs w:val="28"/>
        </w:rPr>
        <w:t>一、询价项目名称</w:t>
      </w:r>
    </w:p>
    <w:p>
      <w:pPr>
        <w:ind w:firstLine="560" w:firstLineChars="200"/>
        <w:rPr>
          <w:rFonts w:hint="eastAsia" w:ascii="仿宋" w:hAnsi="仿宋" w:eastAsia="仿宋"/>
          <w:sz w:val="28"/>
          <w:szCs w:val="28"/>
        </w:rPr>
      </w:pPr>
      <w:r>
        <w:rPr>
          <w:rFonts w:hint="eastAsia" w:ascii="仿宋" w:hAnsi="仿宋" w:eastAsia="仿宋" w:cs="仿宋"/>
          <w:sz w:val="28"/>
          <w:szCs w:val="28"/>
        </w:rPr>
        <w:t>江苏运通港口物流发展有限公司</w:t>
      </w:r>
      <w:r>
        <w:rPr>
          <w:rFonts w:hint="eastAsia" w:ascii="仿宋" w:hAnsi="仿宋" w:eastAsia="仿宋" w:cs="仿宋"/>
          <w:sz w:val="28"/>
          <w:szCs w:val="28"/>
          <w:lang w:val="en-US" w:eastAsia="zh-CN"/>
        </w:rPr>
        <w:t>固定</w:t>
      </w:r>
      <w:r>
        <w:rPr>
          <w:rFonts w:hint="eastAsia" w:ascii="仿宋" w:hAnsi="仿宋" w:eastAsia="仿宋"/>
          <w:sz w:val="28"/>
          <w:szCs w:val="28"/>
          <w:lang w:val="en-US" w:eastAsia="zh-CN"/>
        </w:rPr>
        <w:t>收益类保本型产品</w:t>
      </w:r>
      <w:r>
        <w:rPr>
          <w:rFonts w:hint="eastAsia" w:ascii="仿宋" w:hAnsi="仿宋" w:eastAsia="仿宋"/>
          <w:sz w:val="28"/>
          <w:szCs w:val="28"/>
        </w:rPr>
        <w:t>项目</w:t>
      </w:r>
    </w:p>
    <w:p>
      <w:pPr>
        <w:numPr>
          <w:ilvl w:val="0"/>
          <w:numId w:val="1"/>
        </w:numPr>
        <w:ind w:firstLine="562" w:firstLineChars="200"/>
        <w:rPr>
          <w:rFonts w:hint="eastAsia" w:ascii="仿宋" w:hAnsi="仿宋" w:eastAsia="仿宋"/>
          <w:b/>
          <w:sz w:val="28"/>
          <w:szCs w:val="28"/>
        </w:rPr>
      </w:pPr>
      <w:r>
        <w:rPr>
          <w:rFonts w:hint="eastAsia" w:ascii="仿宋" w:hAnsi="仿宋" w:eastAsia="仿宋"/>
          <w:b/>
          <w:sz w:val="28"/>
          <w:szCs w:val="28"/>
        </w:rPr>
        <w:t>询价项目基本情况</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sz w:val="28"/>
          <w:szCs w:val="28"/>
        </w:rPr>
        <w:t>本次询价</w:t>
      </w:r>
      <w:r>
        <w:rPr>
          <w:rFonts w:hint="eastAsia" w:ascii="仿宋" w:hAnsi="仿宋" w:eastAsia="仿宋" w:cs="仿宋"/>
          <w:sz w:val="28"/>
          <w:szCs w:val="28"/>
          <w:lang w:val="en-US" w:eastAsia="zh-CN"/>
        </w:rPr>
        <w:t>固定</w:t>
      </w:r>
      <w:r>
        <w:rPr>
          <w:rFonts w:hint="eastAsia" w:ascii="仿宋" w:hAnsi="仿宋" w:eastAsia="仿宋"/>
          <w:sz w:val="28"/>
          <w:szCs w:val="28"/>
          <w:lang w:val="en-US" w:eastAsia="zh-CN"/>
        </w:rPr>
        <w:t>收益类保本型产品</w:t>
      </w:r>
      <w:r>
        <w:rPr>
          <w:rFonts w:hint="eastAsia" w:ascii="仿宋" w:hAnsi="仿宋" w:eastAsia="仿宋"/>
          <w:sz w:val="28"/>
          <w:szCs w:val="28"/>
        </w:rPr>
        <w:t>项目，</w:t>
      </w:r>
      <w:r>
        <w:rPr>
          <w:rFonts w:hint="eastAsia" w:ascii="仿宋" w:hAnsi="仿宋" w:eastAsia="仿宋"/>
          <w:sz w:val="28"/>
          <w:szCs w:val="28"/>
          <w:lang w:val="en-US" w:eastAsia="zh-CN"/>
        </w:rPr>
        <w:t>总金额1600万元</w:t>
      </w:r>
      <w:r>
        <w:rPr>
          <w:rFonts w:hint="eastAsia" w:asciiTheme="minorEastAsia" w:hAnsiTheme="minorEastAsia"/>
          <w:sz w:val="30"/>
          <w:szCs w:val="30"/>
        </w:rPr>
        <w:t>，</w:t>
      </w:r>
      <w:r>
        <w:rPr>
          <w:rFonts w:hint="eastAsia" w:ascii="仿宋" w:hAnsi="仿宋" w:eastAsia="仿宋"/>
          <w:sz w:val="28"/>
          <w:szCs w:val="28"/>
          <w:lang w:val="en-US" w:eastAsia="zh-CN"/>
        </w:rPr>
        <w:t>期限一年</w:t>
      </w:r>
      <w:r>
        <w:rPr>
          <w:rFonts w:hint="eastAsia" w:ascii="仿宋" w:hAnsi="仿宋" w:eastAsia="仿宋"/>
          <w:sz w:val="28"/>
          <w:szCs w:val="28"/>
        </w:rPr>
        <w:t>。</w:t>
      </w:r>
      <w:r>
        <w:rPr>
          <w:rFonts w:hint="eastAsia" w:ascii="仿宋" w:hAnsi="仿宋" w:eastAsia="仿宋" w:cs="仿宋"/>
          <w:b/>
          <w:sz w:val="28"/>
          <w:szCs w:val="28"/>
        </w:rPr>
        <w:t>注：为严格控制风险，本次询价只接受保本型金融产品的报价。</w:t>
      </w:r>
    </w:p>
    <w:p>
      <w:pPr>
        <w:ind w:firstLine="562" w:firstLineChars="200"/>
        <w:rPr>
          <w:rFonts w:ascii="仿宋" w:hAnsi="仿宋" w:eastAsia="仿宋"/>
          <w:b/>
          <w:sz w:val="28"/>
          <w:szCs w:val="28"/>
        </w:rPr>
      </w:pPr>
      <w:r>
        <w:rPr>
          <w:rFonts w:hint="eastAsia" w:ascii="仿宋" w:hAnsi="仿宋" w:eastAsia="仿宋"/>
          <w:b/>
          <w:sz w:val="28"/>
          <w:szCs w:val="28"/>
        </w:rPr>
        <w:t>三、报价银行基本条件</w:t>
      </w:r>
    </w:p>
    <w:p>
      <w:pPr>
        <w:ind w:firstLine="560" w:firstLineChars="200"/>
        <w:rPr>
          <w:rFonts w:ascii="仿宋" w:hAnsi="仿宋" w:eastAsia="仿宋"/>
          <w:sz w:val="28"/>
          <w:szCs w:val="28"/>
        </w:rPr>
      </w:pPr>
      <w:r>
        <w:rPr>
          <w:rFonts w:hint="eastAsia" w:ascii="仿宋" w:hAnsi="仿宋" w:eastAsia="仿宋"/>
          <w:sz w:val="28"/>
          <w:szCs w:val="28"/>
        </w:rPr>
        <w:t>1、持有工商行政管理部门颁发的年检合格的营业执照。</w:t>
      </w:r>
    </w:p>
    <w:p>
      <w:pPr>
        <w:ind w:firstLine="560" w:firstLineChars="200"/>
        <w:rPr>
          <w:rFonts w:hint="eastAsia" w:ascii="仿宋" w:hAnsi="仿宋" w:eastAsia="仿宋"/>
          <w:sz w:val="28"/>
          <w:szCs w:val="28"/>
        </w:rPr>
      </w:pPr>
      <w:r>
        <w:rPr>
          <w:rFonts w:hint="eastAsia" w:ascii="仿宋" w:hAnsi="仿宋" w:eastAsia="仿宋"/>
          <w:sz w:val="28"/>
          <w:szCs w:val="28"/>
        </w:rPr>
        <w:t>2、参加此次询价的</w:t>
      </w:r>
      <w:r>
        <w:rPr>
          <w:rFonts w:hint="eastAsia" w:ascii="仿宋" w:hAnsi="仿宋" w:eastAsia="仿宋"/>
          <w:sz w:val="28"/>
          <w:szCs w:val="28"/>
          <w:lang w:val="en-US" w:eastAsia="zh-CN"/>
        </w:rPr>
        <w:t>银行</w:t>
      </w:r>
      <w:r>
        <w:rPr>
          <w:rFonts w:hint="eastAsia" w:ascii="仿宋" w:hAnsi="仿宋" w:eastAsia="仿宋"/>
          <w:sz w:val="28"/>
          <w:szCs w:val="28"/>
        </w:rPr>
        <w:t>在分行范围内只接受一家机构报名，</w:t>
      </w:r>
      <w:r>
        <w:rPr>
          <w:rFonts w:hint="eastAsia" w:ascii="仿宋" w:hAnsi="仿宋" w:eastAsia="仿宋"/>
          <w:sz w:val="28"/>
          <w:szCs w:val="28"/>
          <w:lang w:val="en-US" w:eastAsia="zh-CN"/>
        </w:rPr>
        <w:t>同一银行如有两家及以上机构报名，</w:t>
      </w:r>
      <w:r>
        <w:rPr>
          <w:rFonts w:hint="eastAsia" w:ascii="仿宋" w:hAnsi="仿宋" w:eastAsia="仿宋"/>
          <w:sz w:val="28"/>
          <w:szCs w:val="28"/>
        </w:rPr>
        <w:t>以分行授权为准。</w:t>
      </w:r>
    </w:p>
    <w:p>
      <w:pPr>
        <w:ind w:firstLine="560" w:firstLineChars="200"/>
        <w:rPr>
          <w:rFonts w:hint="default" w:ascii="仿宋" w:hAnsi="仿宋" w:eastAsia="仿宋"/>
          <w:sz w:val="28"/>
          <w:szCs w:val="28"/>
          <w:lang w:val="en-US"/>
        </w:rPr>
      </w:pPr>
      <w:r>
        <w:rPr>
          <w:rFonts w:hint="eastAsia" w:ascii="仿宋" w:hAnsi="仿宋" w:eastAsia="仿宋"/>
          <w:sz w:val="28"/>
          <w:szCs w:val="28"/>
          <w:lang w:val="en-US" w:eastAsia="zh-CN"/>
        </w:rPr>
        <w:t>3、对前期合作中出现不履约情况，且至本次比选时解决方案仍未落地的银行，不得参与此次报价。</w:t>
      </w:r>
    </w:p>
    <w:p>
      <w:pPr>
        <w:ind w:firstLine="560" w:firstLineChars="200"/>
        <w:rPr>
          <w:rFonts w:ascii="仿宋" w:hAnsi="仿宋" w:eastAsia="仿宋" w:cs="Times New Roman"/>
          <w:b/>
          <w:color w:val="FF0000"/>
          <w:sz w:val="28"/>
          <w:szCs w:val="28"/>
        </w:rPr>
      </w:pPr>
      <w:r>
        <w:rPr>
          <w:rFonts w:hint="eastAsia" w:ascii="仿宋" w:hAnsi="仿宋" w:eastAsia="仿宋"/>
          <w:sz w:val="28"/>
          <w:szCs w:val="28"/>
          <w:lang w:val="en-US" w:eastAsia="zh-CN"/>
        </w:rPr>
        <w:t>4</w:t>
      </w:r>
      <w:r>
        <w:rPr>
          <w:rFonts w:hint="eastAsia" w:ascii="仿宋" w:hAnsi="仿宋" w:eastAsia="仿宋"/>
          <w:sz w:val="28"/>
          <w:szCs w:val="28"/>
        </w:rPr>
        <w:t>、</w:t>
      </w:r>
      <w:r>
        <w:rPr>
          <w:rFonts w:hint="eastAsia" w:ascii="仿宋" w:hAnsi="仿宋" w:eastAsia="仿宋" w:cs="Times New Roman"/>
          <w:b/>
          <w:sz w:val="28"/>
          <w:szCs w:val="28"/>
          <w:lang w:eastAsia="zh-CN"/>
        </w:rPr>
        <w:t>中选银行</w:t>
      </w:r>
      <w:r>
        <w:rPr>
          <w:rFonts w:hint="eastAsia" w:ascii="仿宋" w:hAnsi="仿宋" w:eastAsia="仿宋" w:cs="Times New Roman"/>
          <w:b/>
          <w:sz w:val="28"/>
          <w:szCs w:val="28"/>
        </w:rPr>
        <w:t>在产品到期时，</w:t>
      </w:r>
      <w:r>
        <w:rPr>
          <w:rFonts w:hint="eastAsia" w:ascii="仿宋" w:hAnsi="仿宋" w:eastAsia="仿宋" w:cs="Times New Roman"/>
          <w:b/>
          <w:sz w:val="28"/>
          <w:szCs w:val="28"/>
          <w:lang w:eastAsia="zh-CN"/>
        </w:rPr>
        <w:t>如</w:t>
      </w:r>
      <w:r>
        <w:rPr>
          <w:rFonts w:hint="eastAsia" w:ascii="仿宋" w:hAnsi="仿宋" w:eastAsia="仿宋" w:cs="Times New Roman"/>
          <w:b/>
          <w:sz w:val="28"/>
          <w:szCs w:val="28"/>
          <w:lang w:val="en-US" w:eastAsia="zh-CN"/>
        </w:rPr>
        <w:t>无法按照报价约定支付收益的情况，</w:t>
      </w:r>
      <w:r>
        <w:rPr>
          <w:rFonts w:hint="eastAsia" w:ascii="仿宋" w:hAnsi="仿宋" w:eastAsia="仿宋"/>
          <w:b/>
          <w:bCs/>
          <w:sz w:val="28"/>
          <w:szCs w:val="28"/>
        </w:rPr>
        <w:t>中选银行需另外补足报价收益差额。</w:t>
      </w:r>
      <w:r>
        <w:rPr>
          <w:rFonts w:hint="eastAsia" w:ascii="仿宋" w:hAnsi="仿宋" w:eastAsia="仿宋"/>
          <w:b/>
          <w:bCs/>
          <w:sz w:val="28"/>
          <w:szCs w:val="28"/>
          <w:lang w:val="en-US" w:eastAsia="zh-CN"/>
        </w:rPr>
        <w:t>否则</w:t>
      </w:r>
      <w:r>
        <w:rPr>
          <w:rFonts w:hint="eastAsia" w:ascii="仿宋" w:hAnsi="仿宋" w:eastAsia="仿宋" w:cs="Times New Roman"/>
          <w:b/>
          <w:sz w:val="28"/>
          <w:szCs w:val="28"/>
          <w:lang w:eastAsia="zh-CN"/>
        </w:rPr>
        <w:t>将列为南通港（港口）集团有限公司金融合作负面名单，从</w:t>
      </w:r>
      <w:r>
        <w:rPr>
          <w:rFonts w:hint="eastAsia" w:ascii="仿宋" w:hAnsi="仿宋" w:eastAsia="仿宋" w:cs="Times New Roman"/>
          <w:b/>
          <w:sz w:val="28"/>
          <w:szCs w:val="28"/>
          <w:lang w:val="en-US" w:eastAsia="zh-CN"/>
        </w:rPr>
        <w:t>发生之日起暂停该银行不少于24个月的各类金融业务参选资格。</w:t>
      </w:r>
    </w:p>
    <w:p>
      <w:pPr>
        <w:ind w:firstLine="562" w:firstLineChars="200"/>
        <w:rPr>
          <w:rFonts w:ascii="仿宋" w:hAnsi="仿宋" w:eastAsia="仿宋"/>
          <w:b/>
          <w:sz w:val="28"/>
          <w:szCs w:val="28"/>
        </w:rPr>
      </w:pPr>
      <w:r>
        <w:rPr>
          <w:rFonts w:hint="eastAsia" w:ascii="仿宋" w:hAnsi="仿宋" w:eastAsia="仿宋"/>
          <w:b/>
          <w:sz w:val="28"/>
          <w:szCs w:val="28"/>
        </w:rPr>
        <w:t>四、报价</w:t>
      </w:r>
      <w:r>
        <w:rPr>
          <w:rFonts w:ascii="仿宋" w:hAnsi="仿宋" w:eastAsia="仿宋"/>
          <w:b/>
          <w:sz w:val="28"/>
          <w:szCs w:val="28"/>
        </w:rPr>
        <w:t>截止时间与</w:t>
      </w:r>
      <w:r>
        <w:rPr>
          <w:rFonts w:hint="eastAsia" w:ascii="仿宋" w:hAnsi="仿宋" w:eastAsia="仿宋"/>
          <w:b/>
          <w:sz w:val="28"/>
          <w:szCs w:val="28"/>
        </w:rPr>
        <w:t>评审</w:t>
      </w:r>
      <w:r>
        <w:rPr>
          <w:rFonts w:ascii="仿宋" w:hAnsi="仿宋" w:eastAsia="仿宋"/>
          <w:b/>
          <w:sz w:val="28"/>
          <w:szCs w:val="28"/>
        </w:rPr>
        <w:t>时间</w:t>
      </w:r>
    </w:p>
    <w:p>
      <w:pPr>
        <w:ind w:firstLine="585"/>
        <w:rPr>
          <w:rFonts w:ascii="仿宋" w:hAnsi="仿宋" w:eastAsia="仿宋"/>
          <w:sz w:val="28"/>
          <w:szCs w:val="28"/>
        </w:rPr>
      </w:pPr>
      <w:r>
        <w:rPr>
          <w:rFonts w:hint="eastAsia" w:ascii="仿宋" w:hAnsi="仿宋" w:eastAsia="仿宋"/>
          <w:sz w:val="28"/>
          <w:szCs w:val="28"/>
        </w:rPr>
        <w:t>报价截止时间：（北京时间）202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日上午11：00整。</w:t>
      </w:r>
    </w:p>
    <w:p>
      <w:pPr>
        <w:ind w:firstLine="585"/>
        <w:rPr>
          <w:rFonts w:ascii="仿宋" w:hAnsi="仿宋" w:eastAsia="仿宋"/>
          <w:sz w:val="28"/>
          <w:szCs w:val="28"/>
        </w:rPr>
      </w:pPr>
      <w:r>
        <w:rPr>
          <w:rFonts w:hint="eastAsia" w:ascii="仿宋" w:hAnsi="仿宋" w:eastAsia="仿宋"/>
          <w:sz w:val="28"/>
          <w:szCs w:val="28"/>
        </w:rPr>
        <w:t>报价文件投送地点：</w:t>
      </w:r>
      <w:r>
        <w:rPr>
          <w:rFonts w:hint="eastAsia" w:ascii="仿宋" w:hAnsi="仿宋" w:eastAsia="仿宋" w:cs="仿宋"/>
          <w:sz w:val="28"/>
          <w:szCs w:val="28"/>
        </w:rPr>
        <w:t>南通市崇川区青年西路38号港口大厦110</w:t>
      </w:r>
      <w:r>
        <w:rPr>
          <w:rFonts w:hint="eastAsia" w:ascii="仿宋" w:hAnsi="仿宋" w:eastAsia="仿宋" w:cs="仿宋"/>
          <w:sz w:val="28"/>
          <w:szCs w:val="28"/>
          <w:lang w:val="en-US" w:eastAsia="zh-CN"/>
        </w:rPr>
        <w:t>1</w:t>
      </w:r>
      <w:r>
        <w:rPr>
          <w:rFonts w:hint="eastAsia" w:ascii="仿宋" w:hAnsi="仿宋" w:eastAsia="仿宋" w:cs="仿宋"/>
          <w:sz w:val="28"/>
          <w:szCs w:val="28"/>
        </w:rPr>
        <w:t>室</w:t>
      </w:r>
    </w:p>
    <w:p>
      <w:pPr>
        <w:ind w:firstLine="585"/>
        <w:rPr>
          <w:rFonts w:ascii="仿宋" w:hAnsi="仿宋" w:eastAsia="仿宋"/>
          <w:sz w:val="28"/>
          <w:szCs w:val="28"/>
        </w:rPr>
      </w:pPr>
      <w:r>
        <w:rPr>
          <w:rFonts w:hint="eastAsia" w:ascii="仿宋" w:hAnsi="仿宋" w:eastAsia="仿宋"/>
          <w:sz w:val="28"/>
          <w:szCs w:val="28"/>
        </w:rPr>
        <w:t>逾期没有送达的或者未送达指定地点的报价文件，询价人不予受理。</w:t>
      </w:r>
    </w:p>
    <w:p>
      <w:pPr>
        <w:ind w:firstLine="585"/>
        <w:rPr>
          <w:rFonts w:hint="eastAsia" w:ascii="仿宋" w:hAnsi="仿宋" w:eastAsia="仿宋"/>
          <w:sz w:val="28"/>
          <w:szCs w:val="28"/>
        </w:rPr>
      </w:pPr>
      <w:r>
        <w:rPr>
          <w:rFonts w:hint="eastAsia" w:ascii="仿宋" w:hAnsi="仿宋" w:eastAsia="仿宋"/>
          <w:sz w:val="28"/>
          <w:szCs w:val="28"/>
        </w:rPr>
        <w:t>评审</w:t>
      </w:r>
      <w:r>
        <w:rPr>
          <w:rFonts w:ascii="仿宋" w:hAnsi="仿宋" w:eastAsia="仿宋"/>
          <w:sz w:val="28"/>
          <w:szCs w:val="28"/>
        </w:rPr>
        <w:t>时间</w:t>
      </w:r>
      <w:r>
        <w:rPr>
          <w:rFonts w:hint="eastAsia" w:ascii="仿宋" w:hAnsi="仿宋" w:eastAsia="仿宋"/>
          <w:sz w:val="28"/>
          <w:szCs w:val="28"/>
        </w:rPr>
        <w:t>：（北京时间）202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日下午14：00进行评审并确定中选单位，报价单位无需参加。中</w:t>
      </w:r>
      <w:r>
        <w:rPr>
          <w:rFonts w:hint="eastAsia" w:ascii="仿宋" w:hAnsi="仿宋" w:eastAsia="仿宋"/>
          <w:sz w:val="28"/>
          <w:szCs w:val="28"/>
          <w:lang w:val="en-US" w:eastAsia="zh-CN"/>
        </w:rPr>
        <w:t>选</w:t>
      </w:r>
      <w:r>
        <w:rPr>
          <w:rFonts w:hint="eastAsia" w:ascii="仿宋" w:hAnsi="仿宋" w:eastAsia="仿宋"/>
          <w:sz w:val="28"/>
          <w:szCs w:val="28"/>
        </w:rPr>
        <w:t>结果通过电话形式告知，并在南通港（港口）集团有限公司官网上进行公示。</w:t>
      </w:r>
    </w:p>
    <w:p>
      <w:pPr>
        <w:ind w:firstLine="585"/>
        <w:rPr>
          <w:rFonts w:ascii="仿宋" w:hAnsi="仿宋" w:eastAsia="仿宋"/>
          <w:b/>
          <w:sz w:val="28"/>
          <w:szCs w:val="28"/>
        </w:rPr>
      </w:pPr>
      <w:r>
        <w:rPr>
          <w:rFonts w:hint="eastAsia" w:ascii="仿宋" w:hAnsi="仿宋" w:eastAsia="仿宋"/>
          <w:b/>
          <w:sz w:val="28"/>
          <w:szCs w:val="28"/>
        </w:rPr>
        <w:t>五、报价文件要求</w:t>
      </w:r>
    </w:p>
    <w:p>
      <w:pPr>
        <w:ind w:firstLine="560" w:firstLineChars="200"/>
        <w:rPr>
          <w:rFonts w:ascii="仿宋" w:hAnsi="仿宋" w:eastAsia="仿宋"/>
          <w:sz w:val="28"/>
          <w:szCs w:val="28"/>
        </w:rPr>
      </w:pPr>
      <w:r>
        <w:rPr>
          <w:rFonts w:hint="eastAsia" w:ascii="仿宋" w:hAnsi="仿宋" w:eastAsia="仿宋"/>
          <w:sz w:val="28"/>
          <w:szCs w:val="28"/>
        </w:rPr>
        <w:t>本项目报价文件一式两份，密封提交，在评审现场开启，报价文件组成内容如下：</w:t>
      </w:r>
    </w:p>
    <w:p>
      <w:pPr>
        <w:ind w:firstLine="560" w:firstLineChars="200"/>
        <w:rPr>
          <w:rFonts w:ascii="仿宋" w:hAnsi="仿宋" w:eastAsia="仿宋"/>
          <w:sz w:val="28"/>
          <w:szCs w:val="28"/>
        </w:rPr>
      </w:pPr>
      <w:r>
        <w:rPr>
          <w:rFonts w:hint="eastAsia" w:ascii="仿宋" w:hAnsi="仿宋" w:eastAsia="仿宋"/>
          <w:sz w:val="28"/>
          <w:szCs w:val="28"/>
        </w:rPr>
        <w:t>1、营业执照复印件（</w:t>
      </w:r>
      <w:r>
        <w:rPr>
          <w:rFonts w:hint="eastAsia" w:ascii="仿宋" w:hAnsi="仿宋" w:eastAsia="仿宋"/>
          <w:color w:val="000000"/>
          <w:kern w:val="2"/>
          <w:sz w:val="32"/>
          <w:szCs w:val="32"/>
          <w:highlight w:val="none"/>
        </w:rPr>
        <w:t>须清晰并加盖公章</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cs="Times New Roman"/>
          <w:sz w:val="28"/>
          <w:szCs w:val="28"/>
        </w:rPr>
        <w:t>报价单（格式参见附件1、</w:t>
      </w:r>
      <w:r>
        <w:rPr>
          <w:rFonts w:hint="eastAsia" w:ascii="仿宋" w:hAnsi="仿宋" w:eastAsia="仿宋"/>
          <w:sz w:val="28"/>
          <w:szCs w:val="28"/>
        </w:rPr>
        <w:t>加盖公章）。</w:t>
      </w:r>
    </w:p>
    <w:p>
      <w:pPr>
        <w:ind w:firstLine="560" w:firstLineChars="200"/>
        <w:rPr>
          <w:rFonts w:hint="eastAsia"/>
          <w:color w:val="auto"/>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、分行授权书（</w:t>
      </w:r>
      <w:r>
        <w:rPr>
          <w:rFonts w:hint="eastAsia" w:ascii="仿宋" w:hAnsi="仿宋" w:eastAsia="仿宋"/>
          <w:color w:val="auto"/>
          <w:sz w:val="28"/>
          <w:szCs w:val="28"/>
          <w:lang w:val="en-US" w:eastAsia="zh-CN"/>
        </w:rPr>
        <w:t>如</w:t>
      </w:r>
      <w:r>
        <w:rPr>
          <w:rFonts w:hint="eastAsia" w:ascii="仿宋" w:hAnsi="仿宋" w:eastAsia="仿宋"/>
          <w:color w:val="auto"/>
          <w:sz w:val="28"/>
          <w:szCs w:val="28"/>
          <w:highlight w:val="none"/>
        </w:rPr>
        <w:t>在分行范围内</w:t>
      </w:r>
      <w:r>
        <w:rPr>
          <w:rFonts w:hint="eastAsia" w:ascii="仿宋" w:hAnsi="仿宋" w:eastAsia="仿宋"/>
          <w:color w:val="auto"/>
          <w:sz w:val="28"/>
          <w:szCs w:val="28"/>
          <w:highlight w:val="none"/>
          <w:lang w:val="en-US" w:eastAsia="zh-CN"/>
        </w:rPr>
        <w:t>同一银行有两家及以上机构报名需提供，</w:t>
      </w:r>
      <w:r>
        <w:rPr>
          <w:rFonts w:hint="eastAsia" w:ascii="仿宋" w:hAnsi="仿宋" w:eastAsia="仿宋"/>
          <w:color w:val="auto"/>
          <w:sz w:val="32"/>
          <w:szCs w:val="32"/>
        </w:rPr>
        <w:t>须清晰并加盖公章</w:t>
      </w:r>
      <w:r>
        <w:rPr>
          <w:rFonts w:hint="eastAsia" w:ascii="仿宋" w:hAnsi="仿宋" w:eastAsia="仿宋"/>
          <w:color w:val="auto"/>
          <w:sz w:val="28"/>
          <w:szCs w:val="28"/>
        </w:rPr>
        <w:t>）。</w:t>
      </w:r>
    </w:p>
    <w:p>
      <w:pPr>
        <w:ind w:firstLine="560" w:firstLineChars="200"/>
        <w:rPr>
          <w:rFonts w:hint="eastAsia" w:ascii="仿宋" w:hAnsi="仿宋" w:eastAsia="仿宋" w:cs="Times New Roman"/>
          <w:sz w:val="28"/>
          <w:szCs w:val="28"/>
        </w:rPr>
      </w:pP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文件一式</w:t>
      </w:r>
      <w:r>
        <w:rPr>
          <w:rFonts w:hint="eastAsia" w:ascii="仿宋" w:hAnsi="仿宋" w:eastAsia="仿宋" w:cs="Times New Roman"/>
          <w:sz w:val="28"/>
          <w:szCs w:val="28"/>
          <w:lang w:val="en-US" w:eastAsia="zh-CN"/>
        </w:rPr>
        <w:t>两</w:t>
      </w:r>
      <w:r>
        <w:rPr>
          <w:rFonts w:hint="eastAsia" w:ascii="仿宋" w:hAnsi="仿宋" w:eastAsia="仿宋" w:cs="Times New Roman"/>
          <w:sz w:val="28"/>
          <w:szCs w:val="28"/>
        </w:rPr>
        <w:t>份，盖章版</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文件牢固装订成册</w:t>
      </w:r>
      <w:r>
        <w:rPr>
          <w:rFonts w:hint="eastAsia" w:ascii="仿宋" w:hAnsi="仿宋" w:eastAsia="仿宋" w:cs="Times New Roman"/>
          <w:sz w:val="28"/>
          <w:szCs w:val="28"/>
          <w:lang w:eastAsia="zh-CN"/>
        </w:rPr>
        <w:t>后</w:t>
      </w:r>
      <w:r>
        <w:rPr>
          <w:rFonts w:hint="eastAsia" w:ascii="仿宋" w:hAnsi="仿宋" w:eastAsia="仿宋" w:cs="Times New Roman"/>
          <w:sz w:val="28"/>
          <w:szCs w:val="28"/>
        </w:rPr>
        <w:t>统一密封在一个文件袋中，</w:t>
      </w:r>
      <w:r>
        <w:rPr>
          <w:rFonts w:hint="eastAsia" w:ascii="仿宋" w:hAnsi="仿宋" w:eastAsia="仿宋" w:cs="Times New Roman"/>
          <w:sz w:val="28"/>
          <w:szCs w:val="28"/>
          <w:lang w:eastAsia="zh-CN"/>
        </w:rPr>
        <w:t>文件袋</w:t>
      </w:r>
      <w:r>
        <w:rPr>
          <w:rFonts w:hint="eastAsia" w:ascii="仿宋" w:hAnsi="仿宋" w:eastAsia="仿宋" w:cs="Times New Roman"/>
          <w:sz w:val="28"/>
          <w:szCs w:val="28"/>
        </w:rPr>
        <w:t>封面注明项目名称、</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人名称、</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人联系人及联系电话，封口加盖单位印章。</w:t>
      </w:r>
      <w:r>
        <w:rPr>
          <w:rFonts w:hint="eastAsia" w:ascii="仿宋" w:hAnsi="仿宋" w:eastAsia="仿宋" w:cs="Times New Roman"/>
          <w:sz w:val="28"/>
          <w:szCs w:val="28"/>
          <w:lang w:eastAsia="zh-CN"/>
        </w:rPr>
        <w:t>所有</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lang w:eastAsia="zh-CN"/>
        </w:rPr>
        <w:t>文件</w:t>
      </w:r>
      <w:r>
        <w:rPr>
          <w:rFonts w:hint="eastAsia" w:ascii="仿宋" w:hAnsi="仿宋" w:eastAsia="仿宋" w:cs="Times New Roman"/>
          <w:sz w:val="28"/>
          <w:szCs w:val="28"/>
        </w:rPr>
        <w:t>在开标现场开启</w:t>
      </w:r>
      <w:r>
        <w:rPr>
          <w:rFonts w:hint="eastAsia" w:ascii="仿宋" w:hAnsi="仿宋" w:eastAsia="仿宋" w:cs="Times New Roman"/>
          <w:sz w:val="28"/>
          <w:szCs w:val="28"/>
          <w:lang w:eastAsia="zh-CN"/>
        </w:rPr>
        <w:t>，未按上述规定提交</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lang w:eastAsia="zh-CN"/>
        </w:rPr>
        <w:t>文件，其</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lang w:eastAsia="zh-CN"/>
        </w:rPr>
        <w:t>文件</w:t>
      </w:r>
      <w:r>
        <w:rPr>
          <w:rFonts w:hint="eastAsia" w:ascii="仿宋" w:hAnsi="仿宋" w:eastAsia="仿宋" w:cs="Times New Roman"/>
          <w:sz w:val="28"/>
          <w:szCs w:val="28"/>
        </w:rPr>
        <w:t>为无效</w:t>
      </w:r>
      <w:r>
        <w:rPr>
          <w:rFonts w:hint="eastAsia" w:ascii="仿宋" w:hAnsi="仿宋" w:eastAsia="仿宋" w:cs="Times New Roman"/>
          <w:sz w:val="28"/>
          <w:szCs w:val="28"/>
          <w:lang w:val="en-US" w:eastAsia="zh-CN"/>
        </w:rPr>
        <w:t>报价</w:t>
      </w:r>
      <w:r>
        <w:rPr>
          <w:rFonts w:hint="eastAsia" w:ascii="仿宋" w:hAnsi="仿宋" w:eastAsia="仿宋" w:cs="Times New Roman"/>
          <w:sz w:val="28"/>
          <w:szCs w:val="28"/>
        </w:rPr>
        <w:t>文件。</w:t>
      </w:r>
      <w:r>
        <w:rPr>
          <w:rFonts w:hint="eastAsia" w:ascii="仿宋" w:hAnsi="仿宋" w:eastAsia="仿宋" w:cs="Times New Roman"/>
          <w:sz w:val="28"/>
          <w:szCs w:val="28"/>
          <w:lang w:eastAsia="zh-CN"/>
        </w:rPr>
        <w:t>在账户收益率报价中设置有条件报价或者产品不符合要求的，经评委一致认可后，将按照废标处理。</w:t>
      </w:r>
    </w:p>
    <w:p>
      <w:pPr>
        <w:widowControl/>
        <w:shd w:val="clear" w:color="auto" w:fill="FFFFFF"/>
        <w:spacing w:line="450" w:lineRule="atLeast"/>
        <w:ind w:firstLine="585"/>
        <w:jc w:val="left"/>
        <w:rPr>
          <w:rFonts w:ascii="仿宋" w:hAnsi="仿宋" w:eastAsia="仿宋"/>
          <w:b/>
          <w:sz w:val="28"/>
          <w:szCs w:val="28"/>
        </w:rPr>
      </w:pPr>
      <w:r>
        <w:rPr>
          <w:rFonts w:ascii="仿宋" w:hAnsi="仿宋" w:eastAsia="仿宋"/>
          <w:b/>
          <w:sz w:val="28"/>
          <w:szCs w:val="28"/>
        </w:rPr>
        <w:t>六</w:t>
      </w:r>
      <w:r>
        <w:rPr>
          <w:rFonts w:hint="eastAsia" w:ascii="仿宋" w:hAnsi="仿宋" w:eastAsia="仿宋"/>
          <w:b/>
          <w:sz w:val="28"/>
          <w:szCs w:val="28"/>
        </w:rPr>
        <w:t>、评审标准</w:t>
      </w:r>
    </w:p>
    <w:p>
      <w:pPr>
        <w:widowControl/>
        <w:shd w:val="clear" w:color="auto" w:fill="FFFFFF"/>
        <w:spacing w:line="450" w:lineRule="atLeast"/>
        <w:ind w:firstLine="585"/>
        <w:jc w:val="left"/>
        <w:rPr>
          <w:rFonts w:hint="eastAsia" w:ascii="仿宋" w:hAnsi="仿宋" w:eastAsia="仿宋" w:cs="仿宋"/>
          <w:b/>
          <w:sz w:val="28"/>
          <w:szCs w:val="28"/>
          <w:lang w:val="en-US" w:eastAsia="zh-CN"/>
        </w:rPr>
      </w:pPr>
      <w:r>
        <w:rPr>
          <w:rFonts w:hint="eastAsia" w:ascii="仿宋" w:hAnsi="仿宋" w:eastAsia="仿宋" w:cs="仿宋"/>
          <w:b/>
          <w:sz w:val="28"/>
          <w:szCs w:val="28"/>
        </w:rPr>
        <w:t>本次报价</w:t>
      </w:r>
      <w:r>
        <w:rPr>
          <w:rFonts w:hint="eastAsia" w:ascii="仿宋" w:hAnsi="仿宋" w:eastAsia="仿宋" w:cs="仿宋"/>
          <w:b/>
          <w:sz w:val="28"/>
          <w:szCs w:val="28"/>
          <w:lang w:eastAsia="zh-CN"/>
        </w:rPr>
        <w:t>需注明</w:t>
      </w:r>
      <w:r>
        <w:rPr>
          <w:rFonts w:hint="eastAsia" w:ascii="仿宋" w:hAnsi="仿宋" w:eastAsia="仿宋" w:cs="仿宋"/>
          <w:b/>
          <w:bCs/>
          <w:sz w:val="28"/>
          <w:szCs w:val="28"/>
          <w:highlight w:val="none"/>
          <w:lang w:val="en-US" w:eastAsia="zh-CN"/>
        </w:rPr>
        <w:t>固定</w:t>
      </w:r>
      <w:r>
        <w:rPr>
          <w:rFonts w:hint="eastAsia" w:ascii="仿宋" w:hAnsi="仿宋" w:eastAsia="仿宋"/>
          <w:b/>
          <w:bCs/>
          <w:sz w:val="28"/>
          <w:szCs w:val="28"/>
          <w:highlight w:val="none"/>
          <w:lang w:val="en-US" w:eastAsia="zh-CN"/>
        </w:rPr>
        <w:t>收益类</w:t>
      </w:r>
      <w:r>
        <w:rPr>
          <w:rFonts w:hint="eastAsia" w:ascii="仿宋" w:hAnsi="仿宋" w:eastAsia="仿宋"/>
          <w:b/>
          <w:bCs/>
          <w:sz w:val="28"/>
          <w:szCs w:val="28"/>
          <w:lang w:val="en-US" w:eastAsia="zh-CN"/>
        </w:rPr>
        <w:t>保本型产品</w:t>
      </w:r>
      <w:r>
        <w:rPr>
          <w:rFonts w:hint="eastAsia" w:ascii="仿宋" w:hAnsi="仿宋" w:eastAsia="仿宋"/>
          <w:b/>
          <w:bCs/>
          <w:sz w:val="28"/>
          <w:szCs w:val="28"/>
        </w:rPr>
        <w:t>项目</w:t>
      </w:r>
      <w:r>
        <w:rPr>
          <w:rFonts w:hint="eastAsia" w:ascii="仿宋" w:hAnsi="仿宋" w:eastAsia="仿宋" w:cs="仿宋"/>
          <w:b/>
          <w:sz w:val="28"/>
          <w:szCs w:val="28"/>
          <w:lang w:eastAsia="zh-CN"/>
        </w:rPr>
        <w:t>的</w:t>
      </w:r>
      <w:r>
        <w:rPr>
          <w:rFonts w:hint="eastAsia" w:ascii="仿宋" w:hAnsi="仿宋" w:eastAsia="仿宋" w:cs="仿宋"/>
          <w:b/>
          <w:sz w:val="28"/>
          <w:szCs w:val="28"/>
          <w:lang w:val="en-US" w:eastAsia="zh-CN"/>
        </w:rPr>
        <w:t>具体项目</w:t>
      </w:r>
      <w:r>
        <w:rPr>
          <w:rFonts w:hint="eastAsia" w:ascii="仿宋" w:hAnsi="仿宋" w:eastAsia="仿宋" w:cs="仿宋"/>
          <w:b/>
          <w:sz w:val="28"/>
          <w:szCs w:val="28"/>
        </w:rPr>
        <w:t>名称</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按照相同期限报价收益率高低排名先后顺序依次确定中选银行，如报价的最高收益率相同，则以对集团的授信额度多少确定</w:t>
      </w:r>
      <w:r>
        <w:rPr>
          <w:rFonts w:hint="eastAsia" w:ascii="仿宋" w:hAnsi="仿宋" w:eastAsia="仿宋" w:cs="仿宋"/>
          <w:b/>
          <w:sz w:val="28"/>
          <w:szCs w:val="28"/>
          <w:highlight w:val="none"/>
          <w:lang w:val="en-US" w:eastAsia="zh-CN"/>
        </w:rPr>
        <w:t>（如对集团有授信额度，需提供</w:t>
      </w:r>
      <w:r>
        <w:rPr>
          <w:rFonts w:hint="eastAsia" w:ascii="仿宋" w:hAnsi="仿宋" w:eastAsia="仿宋" w:cs="Times New Roman"/>
          <w:b/>
          <w:bCs/>
          <w:color w:val="auto"/>
          <w:sz w:val="28"/>
          <w:szCs w:val="28"/>
          <w:highlight w:val="none"/>
        </w:rPr>
        <w:t>授信批复复印件</w:t>
      </w:r>
      <w:r>
        <w:rPr>
          <w:rFonts w:hint="eastAsia" w:ascii="仿宋" w:hAnsi="仿宋" w:eastAsia="仿宋"/>
          <w:b/>
          <w:bCs/>
          <w:color w:val="auto"/>
          <w:sz w:val="32"/>
          <w:szCs w:val="32"/>
          <w:highlight w:val="none"/>
        </w:rPr>
        <w:t>并加盖公章</w:t>
      </w:r>
      <w:r>
        <w:rPr>
          <w:rFonts w:hint="eastAsia" w:ascii="仿宋" w:hAnsi="仿宋" w:eastAsia="仿宋" w:cs="仿宋"/>
          <w:b/>
          <w:sz w:val="28"/>
          <w:szCs w:val="28"/>
          <w:highlight w:val="none"/>
          <w:lang w:val="en-US" w:eastAsia="zh-CN"/>
        </w:rPr>
        <w:t>）。</w:t>
      </w:r>
    </w:p>
    <w:p>
      <w:pPr>
        <w:widowControl/>
        <w:shd w:val="clear" w:color="auto" w:fill="FFFFFF"/>
        <w:spacing w:line="450" w:lineRule="atLeast"/>
        <w:ind w:firstLine="585"/>
        <w:jc w:val="left"/>
        <w:rPr>
          <w:rFonts w:ascii="仿宋" w:hAnsi="仿宋" w:eastAsia="仿宋" w:cs="仿宋"/>
          <w:b/>
          <w:sz w:val="28"/>
          <w:szCs w:val="28"/>
        </w:rPr>
      </w:pPr>
      <w:r>
        <w:rPr>
          <w:rFonts w:hint="eastAsia" w:ascii="仿宋" w:hAnsi="仿宋" w:eastAsia="仿宋" w:cs="仿宋"/>
          <w:b/>
          <w:sz w:val="28"/>
          <w:szCs w:val="28"/>
        </w:rPr>
        <w:t>七、评审办法</w:t>
      </w:r>
    </w:p>
    <w:p>
      <w:pPr>
        <w:widowControl/>
        <w:shd w:val="clear" w:color="auto" w:fill="FFFFFF"/>
        <w:spacing w:line="450" w:lineRule="atLeast"/>
        <w:ind w:firstLine="585"/>
        <w:jc w:val="left"/>
        <w:rPr>
          <w:rFonts w:ascii="仿宋" w:hAnsi="仿宋" w:eastAsia="仿宋" w:cs="仿宋"/>
          <w:sz w:val="28"/>
          <w:szCs w:val="28"/>
        </w:rPr>
      </w:pPr>
      <w:r>
        <w:rPr>
          <w:rFonts w:hint="eastAsia" w:ascii="仿宋" w:hAnsi="仿宋" w:eastAsia="仿宋" w:cs="仿宋"/>
          <w:sz w:val="28"/>
          <w:szCs w:val="28"/>
        </w:rPr>
        <w:t>1、成立评审小组，成员3人，由询价人按规定组建。</w:t>
      </w:r>
    </w:p>
    <w:p>
      <w:pPr>
        <w:widowControl/>
        <w:shd w:val="clear" w:color="auto" w:fill="FFFFFF"/>
        <w:spacing w:line="450" w:lineRule="atLeast"/>
        <w:ind w:firstLine="585"/>
        <w:jc w:val="left"/>
        <w:rPr>
          <w:rFonts w:ascii="仿宋" w:hAnsi="仿宋" w:eastAsia="仿宋" w:cs="仿宋"/>
          <w:sz w:val="28"/>
          <w:szCs w:val="28"/>
        </w:rPr>
      </w:pPr>
      <w:r>
        <w:rPr>
          <w:rFonts w:hint="eastAsia" w:ascii="仿宋" w:hAnsi="仿宋" w:eastAsia="仿宋" w:cs="仿宋"/>
          <w:sz w:val="28"/>
          <w:szCs w:val="28"/>
        </w:rPr>
        <w:t>2、若报名家数少于</w:t>
      </w:r>
      <w:r>
        <w:rPr>
          <w:rFonts w:hint="eastAsia" w:ascii="仿宋" w:hAnsi="仿宋" w:eastAsia="仿宋" w:cs="仿宋"/>
          <w:sz w:val="28"/>
          <w:szCs w:val="28"/>
          <w:lang w:val="en-US" w:eastAsia="zh-CN"/>
        </w:rPr>
        <w:t>3</w:t>
      </w:r>
      <w:r>
        <w:rPr>
          <w:rFonts w:hint="eastAsia" w:ascii="仿宋" w:hAnsi="仿宋" w:eastAsia="仿宋" w:cs="仿宋"/>
          <w:sz w:val="28"/>
          <w:szCs w:val="28"/>
        </w:rPr>
        <w:t>家，询价人将重新发布询价文件。</w:t>
      </w:r>
    </w:p>
    <w:p>
      <w:pPr>
        <w:widowControl/>
        <w:shd w:val="clear" w:color="auto" w:fill="FFFFFF"/>
        <w:spacing w:line="450" w:lineRule="atLeast"/>
        <w:ind w:firstLine="585"/>
        <w:jc w:val="left"/>
        <w:rPr>
          <w:rFonts w:ascii="仿宋" w:hAnsi="仿宋" w:eastAsia="仿宋"/>
          <w:sz w:val="28"/>
          <w:szCs w:val="28"/>
        </w:rPr>
      </w:pPr>
      <w:r>
        <w:rPr>
          <w:rFonts w:hint="eastAsia" w:ascii="仿宋" w:hAnsi="仿宋" w:eastAsia="仿宋" w:cs="仿宋"/>
          <w:sz w:val="28"/>
          <w:szCs w:val="28"/>
        </w:rPr>
        <w:t>3、</w:t>
      </w:r>
      <w:r>
        <w:rPr>
          <w:rFonts w:hint="eastAsia" w:ascii="仿宋" w:hAnsi="仿宋" w:eastAsia="仿宋" w:cs="Times New Roman"/>
          <w:sz w:val="28"/>
          <w:szCs w:val="28"/>
        </w:rPr>
        <w:t>中选</w:t>
      </w:r>
      <w:r>
        <w:rPr>
          <w:rFonts w:hint="eastAsia" w:ascii="仿宋" w:hAnsi="仿宋" w:eastAsia="仿宋" w:cs="Times New Roman"/>
          <w:sz w:val="28"/>
          <w:szCs w:val="28"/>
          <w:lang w:val="en-US" w:eastAsia="zh-CN"/>
        </w:rPr>
        <w:t>银行及其相应份额一旦确定，应当在规定时间内尽早办理，中选银行不得以市场变化、产品调整等理由要求变更份额、预期收益率等，如出现此类情况将暂停该中选银行未来12个月的参选资格。</w:t>
      </w:r>
      <w:r>
        <w:rPr>
          <w:rFonts w:hint="eastAsia" w:ascii="仿宋" w:hAnsi="仿宋" w:eastAsia="仿宋" w:cs="Times New Roman"/>
          <w:sz w:val="28"/>
          <w:szCs w:val="28"/>
        </w:rPr>
        <w:t>询价人有权变更中选单位，由排名</w:t>
      </w:r>
      <w:r>
        <w:rPr>
          <w:rFonts w:hint="eastAsia" w:ascii="仿宋" w:hAnsi="仿宋" w:eastAsia="仿宋"/>
          <w:sz w:val="28"/>
          <w:szCs w:val="28"/>
        </w:rPr>
        <w:t>紧随其后的</w:t>
      </w:r>
      <w:r>
        <w:rPr>
          <w:rFonts w:hint="eastAsia" w:ascii="仿宋" w:hAnsi="仿宋" w:eastAsia="仿宋" w:cs="Times New Roman"/>
          <w:sz w:val="28"/>
          <w:szCs w:val="28"/>
        </w:rPr>
        <w:t>单位中选，以此类推</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、对未中选的报价人不作落标原因的解释。</w:t>
      </w:r>
    </w:p>
    <w:p>
      <w:pPr>
        <w:rPr>
          <w:rFonts w:ascii="仿宋" w:hAnsi="仿宋" w:eastAsia="仿宋"/>
          <w:sz w:val="28"/>
          <w:szCs w:val="28"/>
        </w:rPr>
      </w:pPr>
      <w:r>
        <w:rPr>
          <w:rFonts w:hint="eastAsia" w:ascii="仿宋" w:hAnsi="仿宋" w:eastAsia="仿宋"/>
          <w:sz w:val="28"/>
          <w:szCs w:val="28"/>
        </w:rPr>
        <w:t xml:space="preserve">   询价人：</w:t>
      </w:r>
      <w:r>
        <w:rPr>
          <w:rFonts w:hint="eastAsia" w:ascii="仿宋" w:hAnsi="仿宋" w:eastAsia="仿宋" w:cs="仿宋"/>
          <w:sz w:val="28"/>
          <w:szCs w:val="28"/>
        </w:rPr>
        <w:t>江苏运通港口物流发展有限公司</w:t>
      </w:r>
    </w:p>
    <w:p>
      <w:pPr>
        <w:ind w:firstLine="420" w:firstLineChars="15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cs="仿宋"/>
          <w:sz w:val="28"/>
          <w:szCs w:val="28"/>
        </w:rPr>
        <w:t>南通市崇川区青年西路38号港口大厦110</w:t>
      </w:r>
      <w:r>
        <w:rPr>
          <w:rFonts w:hint="eastAsia" w:ascii="仿宋" w:hAnsi="仿宋" w:eastAsia="仿宋" w:cs="仿宋"/>
          <w:sz w:val="28"/>
          <w:szCs w:val="28"/>
          <w:lang w:val="en-US" w:eastAsia="zh-CN"/>
        </w:rPr>
        <w:t>1</w:t>
      </w:r>
      <w:bookmarkStart w:id="0" w:name="_GoBack"/>
      <w:bookmarkEnd w:id="0"/>
      <w:r>
        <w:rPr>
          <w:rFonts w:hint="eastAsia" w:ascii="仿宋" w:hAnsi="仿宋" w:eastAsia="仿宋" w:cs="仿宋"/>
          <w:sz w:val="28"/>
          <w:szCs w:val="28"/>
        </w:rPr>
        <w:t>室</w:t>
      </w:r>
    </w:p>
    <w:p>
      <w:pPr>
        <w:autoSpaceDE w:val="0"/>
        <w:autoSpaceDN w:val="0"/>
        <w:adjustRightInd w:val="0"/>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张灿          陈静</w:t>
      </w:r>
    </w:p>
    <w:p>
      <w:pPr>
        <w:autoSpaceDE w:val="0"/>
        <w:autoSpaceDN w:val="0"/>
        <w:adjustRightInd w:val="0"/>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电话</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18751316208  13306297120</w:t>
      </w:r>
    </w:p>
    <w:p>
      <w:pPr>
        <w:ind w:firstLine="420" w:firstLineChars="150"/>
        <w:rPr>
          <w:rFonts w:ascii="仿宋" w:hAnsi="仿宋" w:eastAsia="仿宋"/>
          <w:sz w:val="28"/>
          <w:szCs w:val="28"/>
        </w:rPr>
      </w:pPr>
      <w:r>
        <w:rPr>
          <w:rFonts w:hint="eastAsia"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 xml:space="preserve">  </w:t>
      </w:r>
    </w:p>
    <w:p>
      <w:pPr>
        <w:ind w:firstLine="4480" w:firstLineChars="1600"/>
        <w:rPr>
          <w:rFonts w:ascii="仿宋" w:hAnsi="仿宋" w:eastAsia="仿宋"/>
          <w:sz w:val="28"/>
          <w:szCs w:val="28"/>
        </w:rPr>
      </w:pPr>
      <w:r>
        <w:rPr>
          <w:rFonts w:hint="eastAsia" w:ascii="仿宋" w:hAnsi="仿宋" w:eastAsia="仿宋" w:cs="仿宋"/>
          <w:sz w:val="28"/>
          <w:szCs w:val="28"/>
        </w:rPr>
        <w:t>江苏运通港口物流发展有限公司</w:t>
      </w:r>
    </w:p>
    <w:p>
      <w:pPr>
        <w:wordWrap w:val="0"/>
        <w:jc w:val="righ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15</w:t>
      </w:r>
      <w:r>
        <w:rPr>
          <w:rFonts w:hint="eastAsia" w:ascii="仿宋" w:hAnsi="仿宋" w:eastAsia="仿宋"/>
          <w:sz w:val="28"/>
          <w:szCs w:val="28"/>
        </w:rPr>
        <w:t xml:space="preserve">日      </w:t>
      </w:r>
    </w:p>
    <w:p>
      <w:pPr>
        <w:jc w:val="center"/>
        <w:rPr>
          <w:rFonts w:hint="eastAsia" w:cs="Times New Roman" w:asciiTheme="majorEastAsia" w:hAnsiTheme="majorEastAsia" w:eastAsiaTheme="majorEastAsia"/>
          <w:sz w:val="28"/>
          <w:szCs w:val="28"/>
          <w:lang w:val="en-US" w:eastAsia="zh-CN"/>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cs="Times New Roman" w:asciiTheme="majorEastAsia" w:hAnsiTheme="majorEastAsia" w:eastAsiaTheme="majorEastAsia"/>
          <w:sz w:val="28"/>
          <w:szCs w:val="28"/>
          <w:lang w:val="en-US" w:eastAsia="zh-CN"/>
        </w:rPr>
        <w:t xml:space="preserve">                                                                                                                                         </w:t>
      </w:r>
    </w:p>
    <w:p>
      <w:pPr>
        <w:pStyle w:val="5"/>
        <w:shd w:val="clear" w:color="auto" w:fill="FDFEFF"/>
        <w:spacing w:beforeLines="100" w:afterLines="100" w:line="560" w:lineRule="exact"/>
        <w:rPr>
          <w:rFonts w:cs="Times New Roman" w:asciiTheme="majorEastAsia" w:hAnsiTheme="majorEastAsia" w:eastAsiaTheme="majorEastAsia"/>
          <w:sz w:val="24"/>
          <w:szCs w:val="24"/>
        </w:rPr>
      </w:pPr>
      <w:r>
        <w:rPr>
          <w:rFonts w:cs="Times New Roman" w:asciiTheme="majorEastAsia" w:hAnsiTheme="majorEastAsia" w:eastAsiaTheme="majorEastAsia"/>
          <w:sz w:val="24"/>
          <w:szCs w:val="24"/>
        </w:rPr>
        <w:t xml:space="preserve"> </w:t>
      </w:r>
    </w:p>
    <w:p>
      <w:pPr>
        <w:pStyle w:val="14"/>
        <w:spacing w:before="111" w:beforeLines="35" w:beforeAutospacing="0" w:line="360" w:lineRule="auto"/>
        <w:ind w:firstLine="0" w:firstLineChars="0"/>
        <w:jc w:val="center"/>
        <w:rPr>
          <w:rFonts w:asciiTheme="majorEastAsia" w:hAnsiTheme="majorEastAsia" w:eastAsiaTheme="majorEastAsia"/>
          <w:b/>
          <w:sz w:val="32"/>
          <w:szCs w:val="32"/>
        </w:rPr>
      </w:pPr>
    </w:p>
    <w:p>
      <w:pPr>
        <w:pStyle w:val="5"/>
        <w:shd w:val="clear" w:color="auto" w:fill="FDFEFF"/>
        <w:spacing w:beforeLines="100" w:afterLines="100" w:line="560" w:lineRule="exac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附件1：</w:t>
      </w:r>
      <w:r>
        <w:rPr>
          <w:rFonts w:cs="Times New Roman" w:asciiTheme="majorEastAsia" w:hAnsiTheme="majorEastAsia" w:eastAsiaTheme="majorEastAsia"/>
          <w:sz w:val="24"/>
          <w:szCs w:val="24"/>
        </w:rPr>
        <w:t xml:space="preserve"> </w:t>
      </w:r>
    </w:p>
    <w:p>
      <w:pPr>
        <w:ind w:firstLine="4176" w:firstLineChars="1300"/>
        <w:rPr>
          <w:rFonts w:hint="eastAsia" w:asciiTheme="majorEastAsia" w:hAnsiTheme="majorEastAsia" w:eastAsiaTheme="majorEastAsia"/>
          <w:b/>
          <w:sz w:val="32"/>
          <w:szCs w:val="32"/>
        </w:rPr>
      </w:pPr>
      <w:r>
        <w:rPr>
          <w:rFonts w:hint="eastAsia" w:asciiTheme="majorEastAsia" w:hAnsiTheme="majorEastAsia" w:eastAsiaTheme="majorEastAsia"/>
          <w:b/>
          <w:sz w:val="32"/>
          <w:szCs w:val="32"/>
        </w:rPr>
        <w:t>报价单</w:t>
      </w:r>
    </w:p>
    <w:p>
      <w:pPr>
        <w:rPr>
          <w:rFonts w:ascii="仿宋" w:hAnsi="仿宋" w:eastAsia="仿宋"/>
          <w:sz w:val="28"/>
          <w:szCs w:val="28"/>
        </w:rPr>
      </w:pPr>
      <w:r>
        <w:rPr>
          <w:rFonts w:hint="eastAsia" w:ascii="仿宋" w:hAnsi="仿宋" w:eastAsia="仿宋"/>
          <w:sz w:val="28"/>
          <w:szCs w:val="28"/>
        </w:rPr>
        <w:t>致</w:t>
      </w:r>
      <w:r>
        <w:rPr>
          <w:rFonts w:hint="eastAsia" w:ascii="仿宋" w:hAnsi="仿宋" w:eastAsia="仿宋" w:cs="仿宋"/>
          <w:sz w:val="28"/>
          <w:szCs w:val="28"/>
        </w:rPr>
        <w:t>江苏运通港口物流发展有限公司</w:t>
      </w:r>
      <w:r>
        <w:rPr>
          <w:rFonts w:hint="eastAsia" w:ascii="仿宋" w:hAnsi="仿宋" w:eastAsia="仿宋" w:cs="仿宋"/>
          <w:sz w:val="28"/>
          <w:szCs w:val="28"/>
          <w:lang w:eastAsia="zh-CN"/>
        </w:rPr>
        <w:t>：</w:t>
      </w:r>
    </w:p>
    <w:p>
      <w:pPr>
        <w:pStyle w:val="14"/>
        <w:spacing w:line="360" w:lineRule="auto"/>
        <w:ind w:firstLine="560"/>
        <w:jc w:val="left"/>
        <w:rPr>
          <w:rFonts w:hint="eastAsia" w:ascii="仿宋" w:hAnsi="仿宋" w:eastAsia="仿宋"/>
          <w:b/>
          <w:bCs/>
          <w:sz w:val="28"/>
          <w:szCs w:val="28"/>
          <w:lang w:eastAsia="zh-CN"/>
        </w:rPr>
      </w:pPr>
      <w:r>
        <w:rPr>
          <w:rFonts w:hint="eastAsia" w:ascii="仿宋" w:hAnsi="仿宋" w:eastAsia="仿宋"/>
          <w:sz w:val="28"/>
          <w:szCs w:val="28"/>
        </w:rPr>
        <w:t>一、根据已收到的询价文件要求，我单位将遵照相关法律法规和中国人民银行存款利率的有关规定，</w:t>
      </w:r>
      <w:r>
        <w:rPr>
          <w:rFonts w:hint="eastAsia" w:ascii="仿宋" w:hAnsi="仿宋" w:eastAsia="仿宋"/>
          <w:b/>
          <w:bCs/>
          <w:sz w:val="28"/>
          <w:szCs w:val="28"/>
        </w:rPr>
        <w:t>承诺以下</w:t>
      </w:r>
      <w:r>
        <w:rPr>
          <w:rFonts w:hint="eastAsia" w:ascii="仿宋" w:hAnsi="仿宋" w:eastAsia="仿宋" w:cs="仿宋"/>
          <w:b/>
          <w:bCs/>
          <w:sz w:val="28"/>
          <w:szCs w:val="28"/>
          <w:lang w:val="en-US" w:eastAsia="zh-CN"/>
        </w:rPr>
        <w:t>固定</w:t>
      </w:r>
      <w:r>
        <w:rPr>
          <w:rFonts w:hint="eastAsia" w:ascii="仿宋" w:hAnsi="仿宋" w:eastAsia="仿宋"/>
          <w:b/>
          <w:bCs/>
          <w:sz w:val="28"/>
          <w:szCs w:val="28"/>
          <w:lang w:val="en-US" w:eastAsia="zh-CN"/>
        </w:rPr>
        <w:t>收益类保本型产品</w:t>
      </w:r>
      <w:r>
        <w:rPr>
          <w:rFonts w:hint="eastAsia" w:ascii="仿宋" w:hAnsi="仿宋" w:eastAsia="仿宋"/>
          <w:b/>
          <w:bCs/>
          <w:sz w:val="28"/>
          <w:szCs w:val="28"/>
        </w:rPr>
        <w:t>项目收益率</w:t>
      </w:r>
      <w:r>
        <w:rPr>
          <w:rFonts w:hint="eastAsia" w:ascii="仿宋" w:hAnsi="仿宋" w:eastAsia="仿宋"/>
          <w:b/>
          <w:bCs/>
          <w:sz w:val="28"/>
          <w:szCs w:val="28"/>
          <w:lang w:eastAsia="zh-CN"/>
        </w:rPr>
        <w:t>：</w:t>
      </w:r>
    </w:p>
    <w:p>
      <w:pPr>
        <w:pStyle w:val="14"/>
        <w:spacing w:line="360" w:lineRule="auto"/>
        <w:jc w:val="left"/>
        <w:rPr>
          <w:rFonts w:hint="eastAsia" w:ascii="仿宋" w:hAnsi="仿宋" w:eastAsia="仿宋"/>
          <w:b/>
          <w:bCs/>
          <w:sz w:val="28"/>
          <w:szCs w:val="28"/>
        </w:rPr>
      </w:pPr>
      <w:r>
        <w:rPr>
          <w:rFonts w:hint="eastAsia" w:ascii="仿宋" w:hAnsi="仿宋" w:eastAsia="仿宋"/>
          <w:b/>
          <w:bCs/>
          <w:sz w:val="28"/>
          <w:szCs w:val="28"/>
        </w:rPr>
        <w:t>标段：</w:t>
      </w:r>
      <w:r>
        <w:rPr>
          <w:rFonts w:hint="eastAsia" w:ascii="仿宋" w:hAnsi="仿宋" w:eastAsia="仿宋"/>
          <w:b/>
          <w:bCs/>
          <w:sz w:val="28"/>
          <w:szCs w:val="28"/>
          <w:lang w:val="en-US" w:eastAsia="zh-CN"/>
        </w:rPr>
        <w:t xml:space="preserve"> 1600万元</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一年</w:t>
      </w:r>
      <w:r>
        <w:rPr>
          <w:rFonts w:hint="eastAsia" w:ascii="仿宋" w:hAnsi="仿宋" w:eastAsia="仿宋" w:cs="仿宋"/>
          <w:b/>
          <w:bCs/>
          <w:sz w:val="28"/>
          <w:szCs w:val="28"/>
          <w:lang w:val="en-US" w:eastAsia="zh-CN"/>
        </w:rPr>
        <w:t>固定</w:t>
      </w:r>
      <w:r>
        <w:rPr>
          <w:rFonts w:hint="eastAsia" w:ascii="仿宋" w:hAnsi="仿宋" w:eastAsia="仿宋"/>
          <w:b/>
          <w:bCs/>
          <w:sz w:val="28"/>
          <w:szCs w:val="28"/>
          <w:lang w:val="en-US" w:eastAsia="zh-CN"/>
        </w:rPr>
        <w:t>收益类保本型产品</w:t>
      </w:r>
      <w:r>
        <w:rPr>
          <w:rFonts w:hint="eastAsia" w:ascii="仿宋" w:hAnsi="仿宋" w:eastAsia="仿宋"/>
          <w:b/>
          <w:bCs/>
          <w:sz w:val="28"/>
          <w:szCs w:val="28"/>
        </w:rPr>
        <w:t>项目</w:t>
      </w:r>
    </w:p>
    <w:p>
      <w:pPr>
        <w:pStyle w:val="14"/>
        <w:spacing w:line="360" w:lineRule="auto"/>
        <w:jc w:val="left"/>
        <w:rPr>
          <w:rFonts w:hint="eastAsia" w:ascii="仿宋" w:hAnsi="仿宋" w:eastAsia="仿宋"/>
          <w:b/>
          <w:bCs/>
          <w:sz w:val="28"/>
          <w:szCs w:val="28"/>
          <w:lang w:eastAsia="zh-CN"/>
        </w:rPr>
      </w:pPr>
      <w:r>
        <w:rPr>
          <w:rFonts w:hint="eastAsia" w:ascii="仿宋" w:hAnsi="仿宋" w:eastAsia="仿宋"/>
          <w:b/>
          <w:bCs/>
          <w:sz w:val="28"/>
          <w:szCs w:val="28"/>
        </w:rPr>
        <w:t>名称为____________________、收益率为_______________</w:t>
      </w:r>
      <w:r>
        <w:rPr>
          <w:rFonts w:hint="eastAsia" w:ascii="仿宋" w:hAnsi="仿宋" w:eastAsia="仿宋"/>
          <w:b/>
          <w:bCs/>
          <w:sz w:val="28"/>
          <w:szCs w:val="28"/>
          <w:lang w:eastAsia="zh-CN"/>
        </w:rPr>
        <w:t>。</w:t>
      </w:r>
    </w:p>
    <w:p>
      <w:pPr>
        <w:pStyle w:val="14"/>
        <w:spacing w:line="360" w:lineRule="auto"/>
        <w:ind w:firstLine="560"/>
        <w:jc w:val="left"/>
        <w:rPr>
          <w:rFonts w:ascii="仿宋" w:hAnsi="仿宋" w:eastAsia="仿宋"/>
          <w:sz w:val="28"/>
          <w:szCs w:val="28"/>
        </w:rPr>
      </w:pPr>
      <w:r>
        <w:rPr>
          <w:rFonts w:hint="eastAsia" w:ascii="仿宋" w:hAnsi="仿宋" w:eastAsia="仿宋"/>
          <w:sz w:val="28"/>
          <w:szCs w:val="28"/>
        </w:rPr>
        <w:t>二、如果我方中选，我行将明确专人提供上门服务，贵方发起业务申请5日内办理完结所有手续。</w:t>
      </w:r>
    </w:p>
    <w:p>
      <w:pPr>
        <w:pStyle w:val="14"/>
        <w:spacing w:line="360" w:lineRule="auto"/>
        <w:ind w:firstLine="560"/>
        <w:jc w:val="left"/>
        <w:rPr>
          <w:rFonts w:ascii="仿宋" w:hAnsi="仿宋" w:eastAsia="仿宋"/>
          <w:sz w:val="28"/>
          <w:szCs w:val="28"/>
        </w:rPr>
      </w:pPr>
      <w:r>
        <w:rPr>
          <w:rFonts w:hint="eastAsia" w:ascii="仿宋" w:hAnsi="仿宋" w:eastAsia="仿宋"/>
          <w:sz w:val="28"/>
          <w:szCs w:val="28"/>
        </w:rPr>
        <w:t>三、我们已详细研究询价文件，包括询价文件补遗及有关附件，若中选将严格履行协议的责任和义务。</w:t>
      </w:r>
    </w:p>
    <w:p>
      <w:pPr>
        <w:autoSpaceDN w:val="0"/>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四、我们将按询价文件规定的时间报价，同意向评审小组提供询价文件要求的与本报价有关的任何证据或资料。我们完全理解此次询价活动的评审办法及中选结果。</w:t>
      </w:r>
    </w:p>
    <w:p>
      <w:pPr>
        <w:autoSpaceDN w:val="0"/>
        <w:spacing w:line="360" w:lineRule="auto"/>
        <w:jc w:val="left"/>
        <w:rPr>
          <w:rFonts w:ascii="仿宋" w:hAnsi="仿宋" w:eastAsia="仿宋" w:cs="Times New Roman"/>
          <w:sz w:val="28"/>
          <w:szCs w:val="28"/>
        </w:rPr>
      </w:pPr>
      <w:r>
        <w:rPr>
          <w:rFonts w:hint="eastAsia" w:ascii="仿宋" w:hAnsi="仿宋" w:eastAsia="仿宋" w:cs="Times New Roman"/>
          <w:sz w:val="28"/>
          <w:szCs w:val="28"/>
        </w:rPr>
        <w:t xml:space="preserve">报价人名称（盖章）：     </w:t>
      </w:r>
    </w:p>
    <w:p>
      <w:pPr>
        <w:autoSpaceDN w:val="0"/>
        <w:spacing w:line="360" w:lineRule="auto"/>
        <w:jc w:val="left"/>
        <w:rPr>
          <w:rFonts w:hint="eastAsia" w:ascii="仿宋" w:hAnsi="仿宋" w:eastAsia="仿宋" w:cs="Times New Roman"/>
          <w:b/>
          <w:sz w:val="28"/>
          <w:szCs w:val="28"/>
        </w:rPr>
      </w:pPr>
      <w:r>
        <w:rPr>
          <w:rFonts w:hint="eastAsia" w:ascii="仿宋" w:hAnsi="仿宋" w:eastAsia="仿宋" w:cs="Times New Roman"/>
          <w:sz w:val="28"/>
          <w:szCs w:val="28"/>
        </w:rPr>
        <w:t>法定代表人或其授权代表（签字）：</w:t>
      </w:r>
      <w:r>
        <w:rPr>
          <w:rFonts w:hint="eastAsia" w:ascii="仿宋" w:hAnsi="仿宋" w:eastAsia="仿宋" w:cs="Times New Roman"/>
          <w:b/>
          <w:sz w:val="28"/>
          <w:szCs w:val="28"/>
        </w:rPr>
        <w:t xml:space="preserve"> </w:t>
      </w:r>
    </w:p>
    <w:p>
      <w:pPr>
        <w:autoSpaceDN w:val="0"/>
        <w:spacing w:line="360" w:lineRule="auto"/>
        <w:jc w:val="left"/>
        <w:rPr>
          <w:rFonts w:ascii="仿宋" w:hAnsi="仿宋" w:eastAsia="仿宋" w:cs="Times New Roman"/>
          <w:b/>
          <w:sz w:val="28"/>
          <w:szCs w:val="28"/>
        </w:rPr>
      </w:pPr>
      <w:r>
        <w:rPr>
          <w:rFonts w:hint="eastAsia" w:ascii="仿宋" w:hAnsi="仿宋" w:eastAsia="仿宋" w:cs="Times New Roman"/>
          <w:sz w:val="28"/>
          <w:szCs w:val="28"/>
        </w:rPr>
        <w:t>详细地址：</w:t>
      </w:r>
      <w:r>
        <w:rPr>
          <w:rFonts w:hint="eastAsia" w:ascii="仿宋" w:hAnsi="仿宋" w:eastAsia="仿宋" w:cs="Times New Roman"/>
          <w:b/>
          <w:sz w:val="28"/>
          <w:szCs w:val="28"/>
        </w:rPr>
        <w:t xml:space="preserve">             </w:t>
      </w:r>
    </w:p>
    <w:p>
      <w:pPr>
        <w:autoSpaceDN w:val="0"/>
        <w:spacing w:line="560" w:lineRule="exact"/>
        <w:jc w:val="left"/>
        <w:rPr>
          <w:rFonts w:ascii="仿宋" w:hAnsi="仿宋" w:eastAsia="仿宋" w:cs="Times New Roman"/>
          <w:sz w:val="28"/>
          <w:szCs w:val="28"/>
        </w:rPr>
      </w:pPr>
      <w:r>
        <w:rPr>
          <w:rFonts w:hint="eastAsia" w:ascii="仿宋" w:hAnsi="仿宋" w:eastAsia="仿宋" w:cs="Times New Roman"/>
          <w:sz w:val="28"/>
          <w:szCs w:val="28"/>
        </w:rPr>
        <w:t>邮政编码：</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 xml:space="preserve">联系电话： </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rPr>
        <w:t>日期：</w:t>
      </w:r>
    </w:p>
    <w:sectPr>
      <w:footerReference r:id="rId5" w:type="default"/>
      <w:pgSz w:w="11906" w:h="16838"/>
      <w:pgMar w:top="1361" w:right="1616" w:bottom="1361" w:left="170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282936"/>
      <w:docPartObj>
        <w:docPartGallery w:val="autotext"/>
      </w:docPartObj>
    </w:sdtPr>
    <w:sdtContent>
      <w:sdt>
        <w:sdtPr>
          <w:id w:val="171357217"/>
          <w:docPartObj>
            <w:docPartGallery w:val="autotext"/>
          </w:docPartObj>
        </w:sdtPr>
        <w:sdtContent>
          <w:p>
            <w:pPr>
              <w:pStyle w:val="16"/>
              <w:jc w:val="center"/>
            </w:pPr>
          </w:p>
          <w:p>
            <w:pPr>
              <w:pStyle w:val="1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B2A1F9"/>
    <w:multiLevelType w:val="singleLevel"/>
    <w:tmpl w:val="6EB2A1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ZDE4ZDFiOGY0MDNmZmY0NDJiMWExNWI2NDI5ZjgifQ=="/>
  </w:docVars>
  <w:rsids>
    <w:rsidRoot w:val="00FD3352"/>
    <w:rsid w:val="0000328E"/>
    <w:rsid w:val="00004890"/>
    <w:rsid w:val="00005BD8"/>
    <w:rsid w:val="00010249"/>
    <w:rsid w:val="00014FB2"/>
    <w:rsid w:val="0001530C"/>
    <w:rsid w:val="00016861"/>
    <w:rsid w:val="0001708E"/>
    <w:rsid w:val="00017F43"/>
    <w:rsid w:val="00020357"/>
    <w:rsid w:val="00022967"/>
    <w:rsid w:val="0002401F"/>
    <w:rsid w:val="00032507"/>
    <w:rsid w:val="000357BC"/>
    <w:rsid w:val="000461E8"/>
    <w:rsid w:val="00053889"/>
    <w:rsid w:val="000554EB"/>
    <w:rsid w:val="000748F1"/>
    <w:rsid w:val="00077118"/>
    <w:rsid w:val="00084861"/>
    <w:rsid w:val="000936F7"/>
    <w:rsid w:val="000B0FE4"/>
    <w:rsid w:val="000B2FCC"/>
    <w:rsid w:val="000B57A8"/>
    <w:rsid w:val="000C5CFA"/>
    <w:rsid w:val="000D2F48"/>
    <w:rsid w:val="000D3D39"/>
    <w:rsid w:val="000D3E73"/>
    <w:rsid w:val="000D4A65"/>
    <w:rsid w:val="000D71E2"/>
    <w:rsid w:val="000F3FF3"/>
    <w:rsid w:val="00102634"/>
    <w:rsid w:val="00103473"/>
    <w:rsid w:val="00104983"/>
    <w:rsid w:val="00115FF2"/>
    <w:rsid w:val="00120DB1"/>
    <w:rsid w:val="00123FD4"/>
    <w:rsid w:val="00124531"/>
    <w:rsid w:val="001316D0"/>
    <w:rsid w:val="00140973"/>
    <w:rsid w:val="001424E8"/>
    <w:rsid w:val="00143EA8"/>
    <w:rsid w:val="00144BB9"/>
    <w:rsid w:val="00145FC2"/>
    <w:rsid w:val="00152DAF"/>
    <w:rsid w:val="00167570"/>
    <w:rsid w:val="00172BCE"/>
    <w:rsid w:val="00186A69"/>
    <w:rsid w:val="001872E7"/>
    <w:rsid w:val="00194B88"/>
    <w:rsid w:val="00196756"/>
    <w:rsid w:val="001A13BA"/>
    <w:rsid w:val="001A1DDC"/>
    <w:rsid w:val="001B11DC"/>
    <w:rsid w:val="001B2A90"/>
    <w:rsid w:val="001B58B1"/>
    <w:rsid w:val="001C2DFE"/>
    <w:rsid w:val="001C46E1"/>
    <w:rsid w:val="001D3A33"/>
    <w:rsid w:val="001E40FE"/>
    <w:rsid w:val="001E55F4"/>
    <w:rsid w:val="001E75AD"/>
    <w:rsid w:val="001F025F"/>
    <w:rsid w:val="0020203A"/>
    <w:rsid w:val="00205953"/>
    <w:rsid w:val="00241FF3"/>
    <w:rsid w:val="002507C4"/>
    <w:rsid w:val="00260D32"/>
    <w:rsid w:val="002623F9"/>
    <w:rsid w:val="00262CBE"/>
    <w:rsid w:val="00276132"/>
    <w:rsid w:val="002A4AF3"/>
    <w:rsid w:val="002A7645"/>
    <w:rsid w:val="002B6E2F"/>
    <w:rsid w:val="002B7042"/>
    <w:rsid w:val="002C10C9"/>
    <w:rsid w:val="002C22BD"/>
    <w:rsid w:val="002C7A5F"/>
    <w:rsid w:val="002D5C13"/>
    <w:rsid w:val="002D7003"/>
    <w:rsid w:val="002E07B0"/>
    <w:rsid w:val="002E3ADD"/>
    <w:rsid w:val="002E4EEA"/>
    <w:rsid w:val="002F41A1"/>
    <w:rsid w:val="002F444C"/>
    <w:rsid w:val="002F6443"/>
    <w:rsid w:val="002F7570"/>
    <w:rsid w:val="002F7CE1"/>
    <w:rsid w:val="00300AC4"/>
    <w:rsid w:val="0030672D"/>
    <w:rsid w:val="00310DCB"/>
    <w:rsid w:val="00311CB2"/>
    <w:rsid w:val="003120AC"/>
    <w:rsid w:val="003147E0"/>
    <w:rsid w:val="00320708"/>
    <w:rsid w:val="00324160"/>
    <w:rsid w:val="00326A23"/>
    <w:rsid w:val="0034158B"/>
    <w:rsid w:val="003715B5"/>
    <w:rsid w:val="00380BE5"/>
    <w:rsid w:val="00382EB9"/>
    <w:rsid w:val="0039280A"/>
    <w:rsid w:val="003977C7"/>
    <w:rsid w:val="003A6BE8"/>
    <w:rsid w:val="003B4136"/>
    <w:rsid w:val="003B6E80"/>
    <w:rsid w:val="003C2876"/>
    <w:rsid w:val="003C4E76"/>
    <w:rsid w:val="003C6201"/>
    <w:rsid w:val="003C7E47"/>
    <w:rsid w:val="003E530B"/>
    <w:rsid w:val="003E7045"/>
    <w:rsid w:val="003F56C4"/>
    <w:rsid w:val="003F7335"/>
    <w:rsid w:val="0040054B"/>
    <w:rsid w:val="00400E9C"/>
    <w:rsid w:val="004010DD"/>
    <w:rsid w:val="0040692D"/>
    <w:rsid w:val="00406DA4"/>
    <w:rsid w:val="004178F3"/>
    <w:rsid w:val="004228CE"/>
    <w:rsid w:val="00435C78"/>
    <w:rsid w:val="0045692D"/>
    <w:rsid w:val="0046660F"/>
    <w:rsid w:val="00472A21"/>
    <w:rsid w:val="00476D8C"/>
    <w:rsid w:val="0049111E"/>
    <w:rsid w:val="00492215"/>
    <w:rsid w:val="004976C5"/>
    <w:rsid w:val="004A0855"/>
    <w:rsid w:val="004A7A6B"/>
    <w:rsid w:val="004B4F57"/>
    <w:rsid w:val="004C2AA4"/>
    <w:rsid w:val="004C66B7"/>
    <w:rsid w:val="004D2856"/>
    <w:rsid w:val="00510899"/>
    <w:rsid w:val="00513BB9"/>
    <w:rsid w:val="00515DE0"/>
    <w:rsid w:val="00515DF5"/>
    <w:rsid w:val="00516362"/>
    <w:rsid w:val="00521CA0"/>
    <w:rsid w:val="00532514"/>
    <w:rsid w:val="00550D23"/>
    <w:rsid w:val="005566A3"/>
    <w:rsid w:val="00557FFA"/>
    <w:rsid w:val="00584592"/>
    <w:rsid w:val="005879AD"/>
    <w:rsid w:val="005957FE"/>
    <w:rsid w:val="00595C8B"/>
    <w:rsid w:val="005A4078"/>
    <w:rsid w:val="005B39FE"/>
    <w:rsid w:val="005B50A6"/>
    <w:rsid w:val="005C0750"/>
    <w:rsid w:val="005C4566"/>
    <w:rsid w:val="005D6C11"/>
    <w:rsid w:val="005E0CC8"/>
    <w:rsid w:val="005E2F79"/>
    <w:rsid w:val="005E6350"/>
    <w:rsid w:val="005E708B"/>
    <w:rsid w:val="005F5C6D"/>
    <w:rsid w:val="00600739"/>
    <w:rsid w:val="00602BA2"/>
    <w:rsid w:val="00602BA8"/>
    <w:rsid w:val="00606C58"/>
    <w:rsid w:val="00614D31"/>
    <w:rsid w:val="0062030F"/>
    <w:rsid w:val="00626F65"/>
    <w:rsid w:val="00636299"/>
    <w:rsid w:val="00646CE8"/>
    <w:rsid w:val="00646E30"/>
    <w:rsid w:val="006541FE"/>
    <w:rsid w:val="00673A30"/>
    <w:rsid w:val="00681106"/>
    <w:rsid w:val="006A1C90"/>
    <w:rsid w:val="006C06FE"/>
    <w:rsid w:val="006D6D95"/>
    <w:rsid w:val="006E0D3B"/>
    <w:rsid w:val="006E59F8"/>
    <w:rsid w:val="006F48B6"/>
    <w:rsid w:val="006F48EB"/>
    <w:rsid w:val="006F5CDC"/>
    <w:rsid w:val="006F7DF5"/>
    <w:rsid w:val="0070588E"/>
    <w:rsid w:val="0071135B"/>
    <w:rsid w:val="00713051"/>
    <w:rsid w:val="00717BA3"/>
    <w:rsid w:val="00721A92"/>
    <w:rsid w:val="00725F81"/>
    <w:rsid w:val="00726F7A"/>
    <w:rsid w:val="00737CA2"/>
    <w:rsid w:val="00741659"/>
    <w:rsid w:val="00760CD9"/>
    <w:rsid w:val="00770F49"/>
    <w:rsid w:val="00787737"/>
    <w:rsid w:val="00797416"/>
    <w:rsid w:val="007A0C26"/>
    <w:rsid w:val="007B17B1"/>
    <w:rsid w:val="007C08E6"/>
    <w:rsid w:val="007C14D5"/>
    <w:rsid w:val="007C4CDB"/>
    <w:rsid w:val="007C769F"/>
    <w:rsid w:val="007D3B72"/>
    <w:rsid w:val="007F401A"/>
    <w:rsid w:val="007F5A36"/>
    <w:rsid w:val="007F750B"/>
    <w:rsid w:val="00800414"/>
    <w:rsid w:val="0080287E"/>
    <w:rsid w:val="0080720E"/>
    <w:rsid w:val="0081086A"/>
    <w:rsid w:val="008127BA"/>
    <w:rsid w:val="008172B3"/>
    <w:rsid w:val="00817DDD"/>
    <w:rsid w:val="0082140F"/>
    <w:rsid w:val="00821F87"/>
    <w:rsid w:val="00822CA0"/>
    <w:rsid w:val="00825C08"/>
    <w:rsid w:val="008268A1"/>
    <w:rsid w:val="00831C0F"/>
    <w:rsid w:val="00832B06"/>
    <w:rsid w:val="00832D14"/>
    <w:rsid w:val="008417E4"/>
    <w:rsid w:val="00843DB9"/>
    <w:rsid w:val="008441A7"/>
    <w:rsid w:val="0085052E"/>
    <w:rsid w:val="00852521"/>
    <w:rsid w:val="0085652A"/>
    <w:rsid w:val="00867A80"/>
    <w:rsid w:val="00891EF6"/>
    <w:rsid w:val="008A1D58"/>
    <w:rsid w:val="008A5399"/>
    <w:rsid w:val="008A7B93"/>
    <w:rsid w:val="008B2176"/>
    <w:rsid w:val="008B5203"/>
    <w:rsid w:val="008D163B"/>
    <w:rsid w:val="008D6468"/>
    <w:rsid w:val="008F2935"/>
    <w:rsid w:val="008F59C6"/>
    <w:rsid w:val="008F6381"/>
    <w:rsid w:val="00926099"/>
    <w:rsid w:val="00933969"/>
    <w:rsid w:val="0093564A"/>
    <w:rsid w:val="0094423F"/>
    <w:rsid w:val="00944A54"/>
    <w:rsid w:val="00970AD8"/>
    <w:rsid w:val="00995F07"/>
    <w:rsid w:val="009A037C"/>
    <w:rsid w:val="009A082A"/>
    <w:rsid w:val="009A7043"/>
    <w:rsid w:val="009C5EAC"/>
    <w:rsid w:val="009C7011"/>
    <w:rsid w:val="009D47ED"/>
    <w:rsid w:val="009E1FD6"/>
    <w:rsid w:val="009E4DB3"/>
    <w:rsid w:val="009F0908"/>
    <w:rsid w:val="00A05DBA"/>
    <w:rsid w:val="00A124B8"/>
    <w:rsid w:val="00A24F94"/>
    <w:rsid w:val="00A31CC6"/>
    <w:rsid w:val="00A42A71"/>
    <w:rsid w:val="00A42B61"/>
    <w:rsid w:val="00A6584A"/>
    <w:rsid w:val="00A66944"/>
    <w:rsid w:val="00A67388"/>
    <w:rsid w:val="00A70385"/>
    <w:rsid w:val="00A806C8"/>
    <w:rsid w:val="00AB2BC0"/>
    <w:rsid w:val="00AB2BF2"/>
    <w:rsid w:val="00AB325A"/>
    <w:rsid w:val="00AB7307"/>
    <w:rsid w:val="00AD7B15"/>
    <w:rsid w:val="00AE51F4"/>
    <w:rsid w:val="00AE7EEF"/>
    <w:rsid w:val="00AE7F1E"/>
    <w:rsid w:val="00AF0793"/>
    <w:rsid w:val="00B0447D"/>
    <w:rsid w:val="00B13084"/>
    <w:rsid w:val="00B150AD"/>
    <w:rsid w:val="00B203DF"/>
    <w:rsid w:val="00B20A97"/>
    <w:rsid w:val="00B44048"/>
    <w:rsid w:val="00B471FA"/>
    <w:rsid w:val="00B5083D"/>
    <w:rsid w:val="00B51CD2"/>
    <w:rsid w:val="00B54DEC"/>
    <w:rsid w:val="00B8055C"/>
    <w:rsid w:val="00B8298F"/>
    <w:rsid w:val="00B93923"/>
    <w:rsid w:val="00BA04B8"/>
    <w:rsid w:val="00BA5DB8"/>
    <w:rsid w:val="00BB48C4"/>
    <w:rsid w:val="00BB67E8"/>
    <w:rsid w:val="00BD1173"/>
    <w:rsid w:val="00BD2AF6"/>
    <w:rsid w:val="00BE4241"/>
    <w:rsid w:val="00BE6C04"/>
    <w:rsid w:val="00BF2427"/>
    <w:rsid w:val="00BF48B9"/>
    <w:rsid w:val="00BF7FAC"/>
    <w:rsid w:val="00C07E98"/>
    <w:rsid w:val="00C206BA"/>
    <w:rsid w:val="00C35345"/>
    <w:rsid w:val="00C42489"/>
    <w:rsid w:val="00C53BE2"/>
    <w:rsid w:val="00C54D1A"/>
    <w:rsid w:val="00C744CE"/>
    <w:rsid w:val="00C777E0"/>
    <w:rsid w:val="00C820A8"/>
    <w:rsid w:val="00C85BBF"/>
    <w:rsid w:val="00C92CAD"/>
    <w:rsid w:val="00CA3DC9"/>
    <w:rsid w:val="00CA6EF4"/>
    <w:rsid w:val="00CB0535"/>
    <w:rsid w:val="00CB368B"/>
    <w:rsid w:val="00CB503E"/>
    <w:rsid w:val="00CC54AB"/>
    <w:rsid w:val="00CD068C"/>
    <w:rsid w:val="00CE0DB3"/>
    <w:rsid w:val="00CE39E4"/>
    <w:rsid w:val="00CF6835"/>
    <w:rsid w:val="00CF75CE"/>
    <w:rsid w:val="00D1033E"/>
    <w:rsid w:val="00D168E9"/>
    <w:rsid w:val="00D1697B"/>
    <w:rsid w:val="00D17F5F"/>
    <w:rsid w:val="00D20880"/>
    <w:rsid w:val="00D230A3"/>
    <w:rsid w:val="00D6008D"/>
    <w:rsid w:val="00D670F8"/>
    <w:rsid w:val="00D75C12"/>
    <w:rsid w:val="00D8239E"/>
    <w:rsid w:val="00D855FA"/>
    <w:rsid w:val="00D91DBD"/>
    <w:rsid w:val="00DA39DE"/>
    <w:rsid w:val="00DA6F45"/>
    <w:rsid w:val="00DA7F9F"/>
    <w:rsid w:val="00DC1C15"/>
    <w:rsid w:val="00DE0175"/>
    <w:rsid w:val="00DE177A"/>
    <w:rsid w:val="00DE2531"/>
    <w:rsid w:val="00DE7218"/>
    <w:rsid w:val="00DF08F6"/>
    <w:rsid w:val="00DF6B2A"/>
    <w:rsid w:val="00DF7FA6"/>
    <w:rsid w:val="00E103EA"/>
    <w:rsid w:val="00E25FE7"/>
    <w:rsid w:val="00E3779A"/>
    <w:rsid w:val="00E404D1"/>
    <w:rsid w:val="00E46C1A"/>
    <w:rsid w:val="00E53E42"/>
    <w:rsid w:val="00E6041F"/>
    <w:rsid w:val="00E6182A"/>
    <w:rsid w:val="00E624DE"/>
    <w:rsid w:val="00E7074A"/>
    <w:rsid w:val="00E71CBE"/>
    <w:rsid w:val="00E73423"/>
    <w:rsid w:val="00EB04FC"/>
    <w:rsid w:val="00EB46EB"/>
    <w:rsid w:val="00EB5EC3"/>
    <w:rsid w:val="00EC19A0"/>
    <w:rsid w:val="00ED0311"/>
    <w:rsid w:val="00F04F70"/>
    <w:rsid w:val="00F0614E"/>
    <w:rsid w:val="00F300C0"/>
    <w:rsid w:val="00F31F44"/>
    <w:rsid w:val="00F4732B"/>
    <w:rsid w:val="00F51671"/>
    <w:rsid w:val="00F54581"/>
    <w:rsid w:val="00F6279A"/>
    <w:rsid w:val="00F729F6"/>
    <w:rsid w:val="00F74068"/>
    <w:rsid w:val="00F74F76"/>
    <w:rsid w:val="00F7773B"/>
    <w:rsid w:val="00F80D82"/>
    <w:rsid w:val="00F8349F"/>
    <w:rsid w:val="00FA0666"/>
    <w:rsid w:val="00FA5D02"/>
    <w:rsid w:val="00FB530E"/>
    <w:rsid w:val="00FD3352"/>
    <w:rsid w:val="00FE1370"/>
    <w:rsid w:val="00FE24BF"/>
    <w:rsid w:val="00FE34B4"/>
    <w:rsid w:val="00FF28B0"/>
    <w:rsid w:val="03327ECA"/>
    <w:rsid w:val="04C468F1"/>
    <w:rsid w:val="06600081"/>
    <w:rsid w:val="06CB6F5C"/>
    <w:rsid w:val="0B5C4880"/>
    <w:rsid w:val="0CAA0E7D"/>
    <w:rsid w:val="0E9855A7"/>
    <w:rsid w:val="0F5C1838"/>
    <w:rsid w:val="12412A48"/>
    <w:rsid w:val="12573F25"/>
    <w:rsid w:val="14444AC1"/>
    <w:rsid w:val="147923ED"/>
    <w:rsid w:val="18482AB0"/>
    <w:rsid w:val="18BA4A15"/>
    <w:rsid w:val="1A37660E"/>
    <w:rsid w:val="1B75731B"/>
    <w:rsid w:val="1C177A42"/>
    <w:rsid w:val="1D4E554C"/>
    <w:rsid w:val="1DAD7104"/>
    <w:rsid w:val="1F7367D2"/>
    <w:rsid w:val="216C7CA5"/>
    <w:rsid w:val="23026BE5"/>
    <w:rsid w:val="284B3322"/>
    <w:rsid w:val="28E91A51"/>
    <w:rsid w:val="2A110088"/>
    <w:rsid w:val="2DBF701B"/>
    <w:rsid w:val="2F9419F4"/>
    <w:rsid w:val="307865B5"/>
    <w:rsid w:val="31444795"/>
    <w:rsid w:val="31D159FB"/>
    <w:rsid w:val="349819ED"/>
    <w:rsid w:val="34B21C68"/>
    <w:rsid w:val="35176257"/>
    <w:rsid w:val="3631419A"/>
    <w:rsid w:val="37AE6A93"/>
    <w:rsid w:val="37F10169"/>
    <w:rsid w:val="39BC0960"/>
    <w:rsid w:val="3C6C3F82"/>
    <w:rsid w:val="3C6D5C41"/>
    <w:rsid w:val="426E677D"/>
    <w:rsid w:val="42DB72A6"/>
    <w:rsid w:val="443E41B9"/>
    <w:rsid w:val="44E10FCE"/>
    <w:rsid w:val="4AD92814"/>
    <w:rsid w:val="4DDF7EB3"/>
    <w:rsid w:val="4E284BFC"/>
    <w:rsid w:val="52B55577"/>
    <w:rsid w:val="53116A86"/>
    <w:rsid w:val="5411308F"/>
    <w:rsid w:val="595365FC"/>
    <w:rsid w:val="5A51593C"/>
    <w:rsid w:val="5CB96F04"/>
    <w:rsid w:val="5CDE6586"/>
    <w:rsid w:val="5E5E3BDB"/>
    <w:rsid w:val="5F262332"/>
    <w:rsid w:val="63974A7E"/>
    <w:rsid w:val="67105719"/>
    <w:rsid w:val="672E5871"/>
    <w:rsid w:val="67840CA7"/>
    <w:rsid w:val="68105548"/>
    <w:rsid w:val="6A114177"/>
    <w:rsid w:val="6D3E7DC6"/>
    <w:rsid w:val="6F8E4A60"/>
    <w:rsid w:val="725A2C95"/>
    <w:rsid w:val="73055C74"/>
    <w:rsid w:val="763556B2"/>
    <w:rsid w:val="78A048D2"/>
    <w:rsid w:val="79143567"/>
    <w:rsid w:val="7A533605"/>
    <w:rsid w:val="7CB20D27"/>
    <w:rsid w:val="7CC5517F"/>
    <w:rsid w:val="7DD11D6F"/>
    <w:rsid w:val="7F36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00" w:lineRule="atLeast"/>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6"/>
    <w:qFormat/>
    <w:uiPriority w:val="9"/>
    <w:pPr>
      <w:keepNext/>
      <w:keepLines/>
      <w:spacing w:before="340" w:after="330" w:line="578" w:lineRule="auto"/>
      <w:outlineLvl w:val="0"/>
    </w:pPr>
    <w:rPr>
      <w:rFonts w:ascii="Times New Roman" w:hAnsi="Times New Roman" w:eastAsia="宋体"/>
      <w:b/>
      <w:bCs/>
      <w:kern w:val="44"/>
      <w:sz w:val="44"/>
      <w:szCs w:val="44"/>
    </w:rPr>
  </w:style>
  <w:style w:type="paragraph" w:styleId="6">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28"/>
    <w:semiHidden/>
    <w:unhideWhenUsed/>
    <w:qFormat/>
    <w:uiPriority w:val="9"/>
    <w:pPr>
      <w:keepNext/>
      <w:keepLines/>
      <w:spacing w:before="260" w:after="260" w:line="416" w:lineRule="auto"/>
      <w:outlineLvl w:val="2"/>
    </w:pPr>
    <w:rPr>
      <w:rFonts w:ascii="Times New Roman" w:hAnsi="Times New Roman" w:eastAsia="宋体"/>
      <w:b/>
      <w:bCs/>
      <w:sz w:val="32"/>
      <w:szCs w:val="32"/>
    </w:rPr>
  </w:style>
  <w:style w:type="paragraph" w:styleId="8">
    <w:name w:val="heading 4"/>
    <w:basedOn w:val="1"/>
    <w:next w:val="1"/>
    <w:link w:val="2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30"/>
    <w:semiHidden/>
    <w:unhideWhenUsed/>
    <w:qFormat/>
    <w:uiPriority w:val="9"/>
    <w:pPr>
      <w:keepNext/>
      <w:keepLines/>
      <w:spacing w:before="280" w:after="290" w:line="376" w:lineRule="auto"/>
      <w:outlineLvl w:val="4"/>
    </w:pPr>
    <w:rPr>
      <w:rFonts w:ascii="Times New Roman" w:hAnsi="Times New Roman" w:eastAsia="宋体"/>
      <w:b/>
      <w:bCs/>
      <w:sz w:val="28"/>
      <w:szCs w:val="28"/>
    </w:rPr>
  </w:style>
  <w:style w:type="paragraph" w:styleId="10">
    <w:name w:val="heading 6"/>
    <w:basedOn w:val="1"/>
    <w:next w:val="1"/>
    <w:link w:val="3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11">
    <w:name w:val="heading 7"/>
    <w:basedOn w:val="1"/>
    <w:next w:val="1"/>
    <w:link w:val="32"/>
    <w:semiHidden/>
    <w:unhideWhenUsed/>
    <w:qFormat/>
    <w:uiPriority w:val="9"/>
    <w:pPr>
      <w:keepNext/>
      <w:keepLines/>
      <w:spacing w:before="240" w:after="64" w:line="320" w:lineRule="auto"/>
      <w:outlineLvl w:val="6"/>
    </w:pPr>
    <w:rPr>
      <w:rFonts w:ascii="Times New Roman" w:hAnsi="Times New Roman" w:eastAsia="宋体"/>
      <w:b/>
      <w:bCs/>
      <w:sz w:val="24"/>
      <w:szCs w:val="24"/>
    </w:rPr>
  </w:style>
  <w:style w:type="paragraph" w:styleId="12">
    <w:name w:val="heading 8"/>
    <w:basedOn w:val="1"/>
    <w:next w:val="1"/>
    <w:link w:val="33"/>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3">
    <w:name w:val="heading 9"/>
    <w:basedOn w:val="1"/>
    <w:next w:val="1"/>
    <w:link w:val="34"/>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14">
    <w:name w:val="Normal Indent"/>
    <w:basedOn w:val="1"/>
    <w:qFormat/>
    <w:uiPriority w:val="0"/>
    <w:pPr>
      <w:spacing w:line="240" w:lineRule="auto"/>
      <w:ind w:firstLine="420" w:firstLineChars="200"/>
    </w:pPr>
    <w:rPr>
      <w:rFonts w:ascii="Times New Roman" w:hAnsi="Times New Roman" w:eastAsia="宋体" w:cs="Times New Roman"/>
      <w:szCs w:val="24"/>
    </w:rPr>
  </w:style>
  <w:style w:type="paragraph" w:styleId="15">
    <w:name w:val="Balloon Text"/>
    <w:basedOn w:val="1"/>
    <w:link w:val="51"/>
    <w:semiHidden/>
    <w:unhideWhenUsed/>
    <w:qFormat/>
    <w:uiPriority w:val="99"/>
    <w:pPr>
      <w:spacing w:line="240" w:lineRule="auto"/>
    </w:pPr>
    <w:rPr>
      <w:sz w:val="18"/>
      <w:szCs w:val="18"/>
    </w:rPr>
  </w:style>
  <w:style w:type="paragraph" w:styleId="16">
    <w:name w:val="footer"/>
    <w:basedOn w:val="1"/>
    <w:link w:val="50"/>
    <w:unhideWhenUsed/>
    <w:qFormat/>
    <w:uiPriority w:val="99"/>
    <w:pPr>
      <w:tabs>
        <w:tab w:val="center" w:pos="4153"/>
        <w:tab w:val="right" w:pos="8306"/>
      </w:tabs>
      <w:snapToGrid w:val="0"/>
      <w:spacing w:line="240" w:lineRule="atLeast"/>
      <w:jc w:val="left"/>
    </w:pPr>
    <w:rPr>
      <w:sz w:val="18"/>
      <w:szCs w:val="18"/>
    </w:rPr>
  </w:style>
  <w:style w:type="paragraph" w:styleId="17">
    <w:name w:val="header"/>
    <w:basedOn w:val="1"/>
    <w:link w:val="4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8">
    <w:name w:val="Subtitle"/>
    <w:basedOn w:val="1"/>
    <w:next w:val="1"/>
    <w:link w:val="36"/>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20">
    <w:name w:val="Title"/>
    <w:basedOn w:val="1"/>
    <w:next w:val="1"/>
    <w:link w:val="35"/>
    <w:qFormat/>
    <w:uiPriority w:val="10"/>
    <w:pPr>
      <w:spacing w:before="240" w:after="60"/>
      <w:jc w:val="center"/>
      <w:outlineLvl w:val="0"/>
    </w:pPr>
    <w:rPr>
      <w:rFonts w:eastAsia="宋体" w:asciiTheme="majorHAnsi" w:hAnsiTheme="majorHAnsi" w:cstheme="majorBidi"/>
      <w:b/>
      <w:bCs/>
      <w:sz w:val="32"/>
      <w:szCs w:val="32"/>
    </w:rPr>
  </w:style>
  <w:style w:type="character" w:styleId="23">
    <w:name w:val="Strong"/>
    <w:basedOn w:val="22"/>
    <w:qFormat/>
    <w:uiPriority w:val="22"/>
    <w:rPr>
      <w:b/>
      <w:bCs/>
    </w:rPr>
  </w:style>
  <w:style w:type="character" w:styleId="24">
    <w:name w:val="Emphasis"/>
    <w:basedOn w:val="22"/>
    <w:qFormat/>
    <w:uiPriority w:val="20"/>
    <w:rPr>
      <w:i/>
      <w:iCs/>
    </w:rPr>
  </w:style>
  <w:style w:type="character" w:styleId="25">
    <w:name w:val="Hyperlink"/>
    <w:basedOn w:val="22"/>
    <w:semiHidden/>
    <w:unhideWhenUsed/>
    <w:qFormat/>
    <w:uiPriority w:val="99"/>
    <w:rPr>
      <w:color w:val="0000FF"/>
      <w:u w:val="single"/>
    </w:rPr>
  </w:style>
  <w:style w:type="character" w:customStyle="1" w:styleId="26">
    <w:name w:val="标题 1 Char"/>
    <w:basedOn w:val="22"/>
    <w:link w:val="5"/>
    <w:qFormat/>
    <w:uiPriority w:val="9"/>
    <w:rPr>
      <w:rFonts w:ascii="Times New Roman" w:hAnsi="Times New Roman" w:cstheme="minorBidi"/>
      <w:b/>
      <w:bCs/>
      <w:kern w:val="44"/>
      <w:sz w:val="44"/>
      <w:szCs w:val="44"/>
    </w:rPr>
  </w:style>
  <w:style w:type="character" w:customStyle="1" w:styleId="27">
    <w:name w:val="标题 2 Char"/>
    <w:basedOn w:val="22"/>
    <w:link w:val="6"/>
    <w:semiHidden/>
    <w:qFormat/>
    <w:uiPriority w:val="9"/>
    <w:rPr>
      <w:rFonts w:asciiTheme="majorHAnsi" w:hAnsiTheme="majorHAnsi" w:eastAsiaTheme="majorEastAsia" w:cstheme="majorBidi"/>
      <w:b/>
      <w:bCs/>
      <w:kern w:val="2"/>
      <w:sz w:val="32"/>
      <w:szCs w:val="32"/>
    </w:rPr>
  </w:style>
  <w:style w:type="character" w:customStyle="1" w:styleId="28">
    <w:name w:val="标题 3 Char"/>
    <w:basedOn w:val="22"/>
    <w:link w:val="7"/>
    <w:semiHidden/>
    <w:qFormat/>
    <w:uiPriority w:val="9"/>
    <w:rPr>
      <w:rFonts w:ascii="Times New Roman" w:hAnsi="Times New Roman" w:cstheme="minorBidi"/>
      <w:b/>
      <w:bCs/>
      <w:kern w:val="2"/>
      <w:sz w:val="32"/>
      <w:szCs w:val="32"/>
    </w:rPr>
  </w:style>
  <w:style w:type="character" w:customStyle="1" w:styleId="29">
    <w:name w:val="标题 4 Char"/>
    <w:basedOn w:val="22"/>
    <w:link w:val="8"/>
    <w:semiHidden/>
    <w:qFormat/>
    <w:uiPriority w:val="9"/>
    <w:rPr>
      <w:rFonts w:asciiTheme="majorHAnsi" w:hAnsiTheme="majorHAnsi" w:eastAsiaTheme="majorEastAsia" w:cstheme="majorBidi"/>
      <w:b/>
      <w:bCs/>
      <w:kern w:val="2"/>
      <w:sz w:val="28"/>
      <w:szCs w:val="28"/>
    </w:rPr>
  </w:style>
  <w:style w:type="character" w:customStyle="1" w:styleId="30">
    <w:name w:val="标题 5 Char"/>
    <w:basedOn w:val="22"/>
    <w:link w:val="9"/>
    <w:semiHidden/>
    <w:qFormat/>
    <w:uiPriority w:val="9"/>
    <w:rPr>
      <w:rFonts w:ascii="Times New Roman" w:hAnsi="Times New Roman" w:cstheme="minorBidi"/>
      <w:b/>
      <w:bCs/>
      <w:kern w:val="2"/>
      <w:sz w:val="28"/>
      <w:szCs w:val="28"/>
    </w:rPr>
  </w:style>
  <w:style w:type="character" w:customStyle="1" w:styleId="31">
    <w:name w:val="标题 6 Char"/>
    <w:basedOn w:val="22"/>
    <w:link w:val="10"/>
    <w:semiHidden/>
    <w:qFormat/>
    <w:uiPriority w:val="9"/>
    <w:rPr>
      <w:rFonts w:asciiTheme="majorHAnsi" w:hAnsiTheme="majorHAnsi" w:eastAsiaTheme="majorEastAsia" w:cstheme="majorBidi"/>
      <w:b/>
      <w:bCs/>
      <w:kern w:val="2"/>
      <w:sz w:val="24"/>
      <w:szCs w:val="24"/>
    </w:rPr>
  </w:style>
  <w:style w:type="character" w:customStyle="1" w:styleId="32">
    <w:name w:val="标题 7 Char"/>
    <w:basedOn w:val="22"/>
    <w:link w:val="11"/>
    <w:semiHidden/>
    <w:qFormat/>
    <w:uiPriority w:val="9"/>
    <w:rPr>
      <w:rFonts w:ascii="Times New Roman" w:hAnsi="Times New Roman" w:cstheme="minorBidi"/>
      <w:b/>
      <w:bCs/>
      <w:kern w:val="2"/>
      <w:sz w:val="24"/>
      <w:szCs w:val="24"/>
    </w:rPr>
  </w:style>
  <w:style w:type="character" w:customStyle="1" w:styleId="33">
    <w:name w:val="标题 8 Char"/>
    <w:basedOn w:val="22"/>
    <w:link w:val="12"/>
    <w:semiHidden/>
    <w:qFormat/>
    <w:uiPriority w:val="9"/>
    <w:rPr>
      <w:rFonts w:asciiTheme="majorHAnsi" w:hAnsiTheme="majorHAnsi" w:eastAsiaTheme="majorEastAsia" w:cstheme="majorBidi"/>
      <w:kern w:val="2"/>
      <w:sz w:val="24"/>
      <w:szCs w:val="24"/>
    </w:rPr>
  </w:style>
  <w:style w:type="character" w:customStyle="1" w:styleId="34">
    <w:name w:val="标题 9 Char"/>
    <w:basedOn w:val="22"/>
    <w:link w:val="13"/>
    <w:semiHidden/>
    <w:qFormat/>
    <w:uiPriority w:val="9"/>
    <w:rPr>
      <w:rFonts w:asciiTheme="majorHAnsi" w:hAnsiTheme="majorHAnsi" w:eastAsiaTheme="majorEastAsia" w:cstheme="majorBidi"/>
      <w:kern w:val="2"/>
      <w:sz w:val="21"/>
      <w:szCs w:val="21"/>
    </w:rPr>
  </w:style>
  <w:style w:type="character" w:customStyle="1" w:styleId="35">
    <w:name w:val="标题 Char"/>
    <w:basedOn w:val="22"/>
    <w:link w:val="20"/>
    <w:qFormat/>
    <w:uiPriority w:val="10"/>
    <w:rPr>
      <w:rFonts w:asciiTheme="majorHAnsi" w:hAnsiTheme="majorHAnsi" w:cstheme="majorBidi"/>
      <w:b/>
      <w:bCs/>
      <w:kern w:val="2"/>
      <w:sz w:val="32"/>
      <w:szCs w:val="32"/>
    </w:rPr>
  </w:style>
  <w:style w:type="character" w:customStyle="1" w:styleId="36">
    <w:name w:val="副标题 Char"/>
    <w:basedOn w:val="22"/>
    <w:link w:val="18"/>
    <w:qFormat/>
    <w:uiPriority w:val="11"/>
    <w:rPr>
      <w:rFonts w:asciiTheme="majorHAnsi" w:hAnsiTheme="majorHAnsi" w:cstheme="majorBidi"/>
      <w:b/>
      <w:bCs/>
      <w:kern w:val="28"/>
      <w:sz w:val="32"/>
      <w:szCs w:val="32"/>
    </w:rPr>
  </w:style>
  <w:style w:type="paragraph" w:styleId="37">
    <w:name w:val="No Spacing"/>
    <w:basedOn w:val="1"/>
    <w:qFormat/>
    <w:uiPriority w:val="1"/>
    <w:rPr>
      <w:rFonts w:ascii="Times New Roman" w:hAnsi="Times New Roman" w:eastAsia="宋体"/>
      <w:szCs w:val="24"/>
    </w:rPr>
  </w:style>
  <w:style w:type="paragraph" w:styleId="38">
    <w:name w:val="List Paragraph"/>
    <w:basedOn w:val="1"/>
    <w:qFormat/>
    <w:uiPriority w:val="34"/>
    <w:pPr>
      <w:ind w:firstLine="420" w:firstLineChars="200"/>
    </w:pPr>
    <w:rPr>
      <w:rFonts w:ascii="Times New Roman" w:hAnsi="Times New Roman" w:eastAsia="宋体"/>
      <w:szCs w:val="24"/>
    </w:rPr>
  </w:style>
  <w:style w:type="paragraph" w:styleId="39">
    <w:name w:val="Quote"/>
    <w:basedOn w:val="1"/>
    <w:next w:val="1"/>
    <w:link w:val="40"/>
    <w:qFormat/>
    <w:uiPriority w:val="29"/>
    <w:rPr>
      <w:rFonts w:ascii="Times New Roman" w:hAnsi="Times New Roman" w:eastAsia="宋体"/>
      <w:i/>
      <w:iCs/>
      <w:color w:val="000000" w:themeColor="text1"/>
      <w:szCs w:val="24"/>
      <w14:textFill>
        <w14:solidFill>
          <w14:schemeClr w14:val="tx1"/>
        </w14:solidFill>
      </w14:textFill>
    </w:rPr>
  </w:style>
  <w:style w:type="character" w:customStyle="1" w:styleId="40">
    <w:name w:val="引用 Char"/>
    <w:basedOn w:val="22"/>
    <w:link w:val="39"/>
    <w:qFormat/>
    <w:uiPriority w:val="29"/>
    <w:rPr>
      <w:rFonts w:ascii="Times New Roman" w:hAnsi="Times New Roman" w:cstheme="minorBidi"/>
      <w:i/>
      <w:iCs/>
      <w:color w:val="000000" w:themeColor="text1"/>
      <w:kern w:val="2"/>
      <w:sz w:val="21"/>
      <w:szCs w:val="24"/>
      <w14:textFill>
        <w14:solidFill>
          <w14:schemeClr w14:val="tx1"/>
        </w14:solidFill>
      </w14:textFill>
    </w:rPr>
  </w:style>
  <w:style w:type="paragraph" w:styleId="41">
    <w:name w:val="Intense Quote"/>
    <w:basedOn w:val="1"/>
    <w:next w:val="1"/>
    <w:link w:val="42"/>
    <w:qFormat/>
    <w:uiPriority w:val="30"/>
    <w:pPr>
      <w:pBdr>
        <w:bottom w:val="single" w:color="4F81BD" w:themeColor="accent1" w:sz="4" w:space="4"/>
      </w:pBdr>
      <w:spacing w:before="200" w:after="280"/>
      <w:ind w:left="936" w:right="936"/>
    </w:pPr>
    <w:rPr>
      <w:rFonts w:ascii="Times New Roman" w:hAnsi="Times New Roman" w:eastAsia="宋体"/>
      <w:b/>
      <w:bCs/>
      <w:i/>
      <w:iCs/>
      <w:color w:val="4F81BD" w:themeColor="accent1"/>
      <w:szCs w:val="24"/>
      <w14:textFill>
        <w14:solidFill>
          <w14:schemeClr w14:val="accent1"/>
        </w14:solidFill>
      </w14:textFill>
    </w:rPr>
  </w:style>
  <w:style w:type="character" w:customStyle="1" w:styleId="42">
    <w:name w:val="明显引用 Char"/>
    <w:basedOn w:val="22"/>
    <w:link w:val="41"/>
    <w:qFormat/>
    <w:uiPriority w:val="30"/>
    <w:rPr>
      <w:rFonts w:ascii="Times New Roman" w:hAnsi="Times New Roman" w:cstheme="minorBidi"/>
      <w:b/>
      <w:bCs/>
      <w:i/>
      <w:iCs/>
      <w:color w:val="4F81BD" w:themeColor="accent1"/>
      <w:kern w:val="2"/>
      <w:sz w:val="21"/>
      <w:szCs w:val="24"/>
      <w14:textFill>
        <w14:solidFill>
          <w14:schemeClr w14:val="accent1"/>
        </w14:solidFill>
      </w14:textFill>
    </w:rPr>
  </w:style>
  <w:style w:type="character" w:customStyle="1" w:styleId="43">
    <w:name w:val="Subtle Emphasis"/>
    <w:qFormat/>
    <w:uiPriority w:val="19"/>
    <w:rPr>
      <w:i/>
      <w:iCs/>
      <w:color w:val="808080" w:themeColor="text1" w:themeTint="80"/>
      <w14:textFill>
        <w14:solidFill>
          <w14:schemeClr w14:val="tx1">
            <w14:lumMod w14:val="50000"/>
            <w14:lumOff w14:val="50000"/>
          </w14:schemeClr>
        </w14:solidFill>
      </w14:textFill>
    </w:rPr>
  </w:style>
  <w:style w:type="character" w:customStyle="1" w:styleId="44">
    <w:name w:val="Intense Emphasis"/>
    <w:basedOn w:val="22"/>
    <w:qFormat/>
    <w:uiPriority w:val="21"/>
    <w:rPr>
      <w:b/>
      <w:bCs/>
      <w:i/>
      <w:iCs/>
      <w:color w:val="4F81BD" w:themeColor="accent1"/>
      <w14:textFill>
        <w14:solidFill>
          <w14:schemeClr w14:val="accent1"/>
        </w14:solidFill>
      </w14:textFill>
    </w:rPr>
  </w:style>
  <w:style w:type="character" w:customStyle="1" w:styleId="45">
    <w:name w:val="Subtle Reference"/>
    <w:basedOn w:val="22"/>
    <w:qFormat/>
    <w:uiPriority w:val="31"/>
    <w:rPr>
      <w:smallCaps/>
      <w:color w:val="C0504D" w:themeColor="accent2"/>
      <w:u w:val="single"/>
      <w14:textFill>
        <w14:solidFill>
          <w14:schemeClr w14:val="accent2"/>
        </w14:solidFill>
      </w14:textFill>
    </w:rPr>
  </w:style>
  <w:style w:type="character" w:customStyle="1" w:styleId="46">
    <w:name w:val="Intense Reference"/>
    <w:basedOn w:val="22"/>
    <w:qFormat/>
    <w:uiPriority w:val="32"/>
    <w:rPr>
      <w:b/>
      <w:bCs/>
      <w:smallCaps/>
      <w:color w:val="C0504D" w:themeColor="accent2"/>
      <w:spacing w:val="5"/>
      <w:u w:val="single"/>
      <w14:textFill>
        <w14:solidFill>
          <w14:schemeClr w14:val="accent2"/>
        </w14:solidFill>
      </w14:textFill>
    </w:rPr>
  </w:style>
  <w:style w:type="character" w:customStyle="1" w:styleId="47">
    <w:name w:val="Book Title"/>
    <w:basedOn w:val="22"/>
    <w:qFormat/>
    <w:uiPriority w:val="33"/>
    <w:rPr>
      <w:b/>
      <w:bCs/>
      <w:smallCaps/>
      <w:spacing w:val="5"/>
    </w:rPr>
  </w:style>
  <w:style w:type="paragraph" w:customStyle="1" w:styleId="48">
    <w:name w:val="TOC Heading"/>
    <w:basedOn w:val="5"/>
    <w:next w:val="1"/>
    <w:semiHidden/>
    <w:unhideWhenUsed/>
    <w:qFormat/>
    <w:uiPriority w:val="39"/>
    <w:pPr>
      <w:outlineLvl w:val="9"/>
    </w:pPr>
  </w:style>
  <w:style w:type="character" w:customStyle="1" w:styleId="49">
    <w:name w:val="页眉 Char"/>
    <w:basedOn w:val="22"/>
    <w:link w:val="17"/>
    <w:semiHidden/>
    <w:qFormat/>
    <w:uiPriority w:val="99"/>
    <w:rPr>
      <w:rFonts w:asciiTheme="minorHAnsi" w:hAnsiTheme="minorHAnsi" w:eastAsiaTheme="minorEastAsia" w:cstheme="minorBidi"/>
      <w:kern w:val="2"/>
      <w:sz w:val="18"/>
      <w:szCs w:val="18"/>
    </w:rPr>
  </w:style>
  <w:style w:type="character" w:customStyle="1" w:styleId="50">
    <w:name w:val="页脚 Char"/>
    <w:basedOn w:val="22"/>
    <w:link w:val="16"/>
    <w:qFormat/>
    <w:uiPriority w:val="99"/>
    <w:rPr>
      <w:rFonts w:asciiTheme="minorHAnsi" w:hAnsiTheme="minorHAnsi" w:eastAsiaTheme="minorEastAsia" w:cstheme="minorBidi"/>
      <w:kern w:val="2"/>
      <w:sz w:val="18"/>
      <w:szCs w:val="18"/>
    </w:rPr>
  </w:style>
  <w:style w:type="character" w:customStyle="1" w:styleId="51">
    <w:name w:val="批注框文本 Char"/>
    <w:basedOn w:val="22"/>
    <w:link w:val="15"/>
    <w:semiHidden/>
    <w:qFormat/>
    <w:uiPriority w:val="99"/>
    <w:rPr>
      <w:rFonts w:asciiTheme="minorHAnsi" w:hAnsiTheme="minorHAnsi" w:eastAsiaTheme="minorEastAsia" w:cstheme="minorBidi"/>
      <w:kern w:val="2"/>
      <w:sz w:val="18"/>
      <w:szCs w:val="18"/>
    </w:rPr>
  </w:style>
  <w:style w:type="paragraph" w:customStyle="1" w:styleId="52">
    <w:name w:val="pa-2"/>
    <w:basedOn w:val="1"/>
    <w:qFormat/>
    <w:uiPriority w:val="0"/>
    <w:pPr>
      <w:widowControl/>
      <w:spacing w:before="100" w:beforeAutospacing="1" w:after="100" w:afterAutospacing="1" w:line="240" w:lineRule="auto"/>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5488-4FF6-4FBB-AE7A-A1392FCA070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312</Words>
  <Characters>1780</Characters>
  <Lines>14</Lines>
  <Paragraphs>4</Paragraphs>
  <TotalTime>0</TotalTime>
  <ScaleCrop>false</ScaleCrop>
  <LinksUpToDate>false</LinksUpToDate>
  <CharactersWithSpaces>2088</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2022-04-20T05:24:00Z</dcterms:created>
  <dc:creator>微软用户</dc:creator>
  <cp:lastModifiedBy>Admin</cp:lastModifiedBy>
  <cp:lastPrinted>2023-04-25T01:36:00Z</cp:lastPrinted>
  <dcterms:modified xsi:type="dcterms:W3CDTF">2023-11-15T03:22:24Z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C0B9ED7FB36C4D2AA1EFCB3EAB7065D7</vt:lpwstr>
  </property>
</Properties>
</file>